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DC6E2" w14:textId="77777777" w:rsidR="00D339F4" w:rsidRDefault="00D339F4" w:rsidP="00977643">
      <w:pPr>
        <w:jc w:val="right"/>
        <w:rPr>
          <w:rFonts w:ascii="Source Sans Pro" w:hAnsi="Source Sans Pro"/>
          <w:sz w:val="21"/>
        </w:rPr>
      </w:pPr>
    </w:p>
    <w:p w14:paraId="54D3948E" w14:textId="2D380B7C" w:rsidR="00977643" w:rsidRDefault="00977643" w:rsidP="00977643">
      <w:pPr>
        <w:rPr>
          <w:rFonts w:ascii="Source Sans Pro" w:hAnsi="Source Sans Pro"/>
          <w:sz w:val="21"/>
        </w:rPr>
      </w:pPr>
      <w:r>
        <w:rPr>
          <w:rFonts w:ascii="Source Sans Pro" w:hAnsi="Source Sans Pro"/>
          <w:sz w:val="21"/>
        </w:rPr>
        <w:tab/>
      </w:r>
      <w:r>
        <w:rPr>
          <w:rFonts w:ascii="Source Sans Pro" w:hAnsi="Source Sans Pro"/>
          <w:sz w:val="21"/>
        </w:rPr>
        <w:tab/>
      </w:r>
      <w:r>
        <w:rPr>
          <w:rFonts w:ascii="Source Sans Pro" w:hAnsi="Source Sans Pro"/>
          <w:sz w:val="21"/>
        </w:rPr>
        <w:tab/>
      </w:r>
      <w:r>
        <w:rPr>
          <w:rFonts w:ascii="Source Sans Pro" w:hAnsi="Source Sans Pro"/>
          <w:sz w:val="21"/>
        </w:rPr>
        <w:tab/>
      </w:r>
      <w:r>
        <w:rPr>
          <w:rFonts w:ascii="Source Sans Pro" w:hAnsi="Source Sans Pro"/>
          <w:sz w:val="21"/>
        </w:rPr>
        <w:tab/>
      </w:r>
      <w:r>
        <w:rPr>
          <w:rFonts w:ascii="Source Sans Pro" w:hAnsi="Source Sans Pro"/>
          <w:sz w:val="21"/>
        </w:rPr>
        <w:tab/>
      </w:r>
      <w:r>
        <w:rPr>
          <w:rFonts w:ascii="Source Sans Pro" w:hAnsi="Source Sans Pro"/>
          <w:sz w:val="21"/>
        </w:rPr>
        <w:tab/>
      </w:r>
      <w:r>
        <w:rPr>
          <w:rFonts w:ascii="Source Sans Pro" w:hAnsi="Source Sans Pro"/>
          <w:sz w:val="21"/>
        </w:rPr>
        <w:tab/>
      </w:r>
      <w:r>
        <w:rPr>
          <w:rFonts w:ascii="Source Sans Pro" w:hAnsi="Source Sans Pro"/>
          <w:sz w:val="21"/>
        </w:rPr>
        <w:tab/>
        <w:t xml:space="preserve">        </w:t>
      </w:r>
      <w:r w:rsidR="00087848">
        <w:rPr>
          <w:rFonts w:ascii="Source Sans Pro" w:hAnsi="Source Sans Pro"/>
          <w:sz w:val="21"/>
        </w:rPr>
        <w:t xml:space="preserve"> </w:t>
      </w:r>
      <w:r>
        <w:rPr>
          <w:rFonts w:ascii="Source Sans Pro" w:hAnsi="Source Sans Pro"/>
          <w:sz w:val="21"/>
        </w:rPr>
        <w:t xml:space="preserve">Document: </w:t>
      </w:r>
      <w:r w:rsidR="00087848">
        <w:rPr>
          <w:rFonts w:ascii="Source Sans Pro" w:hAnsi="Source Sans Pro"/>
          <w:sz w:val="21"/>
        </w:rPr>
        <w:t>PICV03031501-4</w:t>
      </w:r>
    </w:p>
    <w:p w14:paraId="53F6FE3A" w14:textId="77777777" w:rsidR="00977643" w:rsidRDefault="00977643">
      <w:pPr>
        <w:jc w:val="both"/>
        <w:rPr>
          <w:rFonts w:ascii="Source Sans Pro" w:hAnsi="Source Sans Pro"/>
          <w:sz w:val="21"/>
        </w:rPr>
      </w:pPr>
      <w:r>
        <w:rPr>
          <w:rFonts w:ascii="Source Sans Pro" w:hAnsi="Source Sans Pro"/>
          <w:sz w:val="21"/>
        </w:rPr>
        <w:tab/>
      </w:r>
      <w:r>
        <w:rPr>
          <w:rFonts w:ascii="Source Sans Pro" w:hAnsi="Source Sans Pro"/>
          <w:sz w:val="21"/>
        </w:rPr>
        <w:tab/>
      </w:r>
      <w:r>
        <w:rPr>
          <w:rFonts w:ascii="Source Sans Pro" w:hAnsi="Source Sans Pro"/>
          <w:sz w:val="21"/>
        </w:rPr>
        <w:tab/>
      </w:r>
      <w:r>
        <w:rPr>
          <w:rFonts w:ascii="Source Sans Pro" w:hAnsi="Source Sans Pro"/>
          <w:sz w:val="21"/>
        </w:rPr>
        <w:tab/>
      </w:r>
      <w:r>
        <w:rPr>
          <w:rFonts w:ascii="Source Sans Pro" w:hAnsi="Source Sans Pro"/>
          <w:sz w:val="21"/>
        </w:rPr>
        <w:tab/>
      </w:r>
      <w:r>
        <w:rPr>
          <w:rFonts w:ascii="Source Sans Pro" w:hAnsi="Source Sans Pro"/>
          <w:sz w:val="21"/>
        </w:rPr>
        <w:tab/>
      </w:r>
      <w:r>
        <w:rPr>
          <w:rFonts w:ascii="Source Sans Pro" w:hAnsi="Source Sans Pro"/>
          <w:sz w:val="21"/>
        </w:rPr>
        <w:tab/>
      </w:r>
      <w:r>
        <w:rPr>
          <w:rFonts w:ascii="Source Sans Pro" w:hAnsi="Source Sans Pro"/>
          <w:sz w:val="21"/>
        </w:rPr>
        <w:tab/>
        <w:t xml:space="preserve">              Effective Date: December 12, 2018</w:t>
      </w:r>
    </w:p>
    <w:p w14:paraId="79ACA669" w14:textId="77777777" w:rsidR="00087848" w:rsidRDefault="00087848" w:rsidP="00087848">
      <w:pPr>
        <w:overflowPunct w:val="0"/>
        <w:autoSpaceDE w:val="0"/>
        <w:autoSpaceDN w:val="0"/>
        <w:adjustRightInd w:val="0"/>
        <w:textAlignment w:val="baseline"/>
        <w:rPr>
          <w:rFonts w:ascii="Source Sans Pro" w:hAnsi="Source Sans Pro"/>
          <w:sz w:val="21"/>
        </w:rPr>
      </w:pPr>
    </w:p>
    <w:p w14:paraId="6F790699" w14:textId="77777777" w:rsidR="00087848" w:rsidRPr="004A6A0D" w:rsidRDefault="00087848" w:rsidP="00087848">
      <w:pPr>
        <w:pStyle w:val="Heading1"/>
        <w:rPr>
          <w:rFonts w:ascii="DINOT-Medium" w:hAnsi="DINOT-Medium"/>
          <w:szCs w:val="22"/>
        </w:rPr>
      </w:pPr>
      <w:r w:rsidRPr="004A6A0D">
        <w:rPr>
          <w:rFonts w:ascii="DINOT-Medium" w:hAnsi="DINOT-Medium"/>
          <w:szCs w:val="22"/>
        </w:rPr>
        <w:t>Instructions:</w:t>
      </w:r>
    </w:p>
    <w:p w14:paraId="10FF108C" w14:textId="77777777" w:rsidR="00087848" w:rsidRPr="004A6A0D" w:rsidRDefault="00087848" w:rsidP="00087848">
      <w:pPr>
        <w:rPr>
          <w:szCs w:val="22"/>
        </w:rPr>
      </w:pPr>
      <w:r w:rsidRPr="004A6A0D">
        <w:rPr>
          <w:szCs w:val="22"/>
        </w:rPr>
        <w:t>Insert these</w:t>
      </w:r>
      <w:r>
        <w:rPr>
          <w:szCs w:val="22"/>
        </w:rPr>
        <w:t xml:space="preserve"> specifications in section 23 09 2</w:t>
      </w:r>
      <w:r w:rsidRPr="004A6A0D">
        <w:rPr>
          <w:szCs w:val="22"/>
        </w:rPr>
        <w:t xml:space="preserve">3 – </w:t>
      </w:r>
      <w:r>
        <w:rPr>
          <w:szCs w:val="22"/>
        </w:rPr>
        <w:t>Control Valves</w:t>
      </w:r>
      <w:r w:rsidRPr="004A6A0D">
        <w:rPr>
          <w:szCs w:val="22"/>
        </w:rPr>
        <w:t xml:space="preserve"> where applicable.  Additionally, request a CAD detail from your Nexus Valve representative for your automatic flow control valve piping detail.</w:t>
      </w:r>
      <w:r>
        <w:rPr>
          <w:szCs w:val="22"/>
        </w:rPr>
        <w:t xml:space="preserve">  </w:t>
      </w:r>
    </w:p>
    <w:p w14:paraId="242A932B" w14:textId="77777777" w:rsidR="00087848" w:rsidRPr="00143CEA" w:rsidRDefault="00087848" w:rsidP="00087848">
      <w:pPr>
        <w:rPr>
          <w:sz w:val="18"/>
          <w:szCs w:val="18"/>
        </w:rPr>
      </w:pPr>
    </w:p>
    <w:p w14:paraId="105C96F7" w14:textId="77777777" w:rsidR="00087848" w:rsidRPr="004A6A0D" w:rsidRDefault="00087848" w:rsidP="00087848">
      <w:pPr>
        <w:rPr>
          <w:b/>
          <w:szCs w:val="22"/>
        </w:rPr>
      </w:pPr>
      <w:r w:rsidRPr="004A6A0D">
        <w:rPr>
          <w:b/>
          <w:szCs w:val="22"/>
        </w:rPr>
        <w:t>General:</w:t>
      </w:r>
    </w:p>
    <w:p w14:paraId="4B183A00" w14:textId="77777777" w:rsidR="00087848" w:rsidRDefault="00087848" w:rsidP="00087848">
      <w:pPr>
        <w:rPr>
          <w:szCs w:val="22"/>
        </w:rPr>
      </w:pPr>
      <w:r w:rsidRPr="004A6A0D">
        <w:rPr>
          <w:szCs w:val="22"/>
        </w:rPr>
        <w:t xml:space="preserve">Contractor shall provide and install </w:t>
      </w:r>
      <w:r>
        <w:rPr>
          <w:szCs w:val="22"/>
        </w:rPr>
        <w:t>pressure independent</w:t>
      </w:r>
      <w:r w:rsidRPr="004A6A0D">
        <w:rPr>
          <w:szCs w:val="22"/>
        </w:rPr>
        <w:t xml:space="preserve"> flow control valves at all locations as specified in the construction documents.</w:t>
      </w:r>
    </w:p>
    <w:p w14:paraId="7B75FBA5" w14:textId="77777777" w:rsidR="00087848" w:rsidRPr="00143CEA" w:rsidRDefault="00087848" w:rsidP="00087848">
      <w:pPr>
        <w:rPr>
          <w:sz w:val="18"/>
          <w:szCs w:val="18"/>
        </w:rPr>
      </w:pPr>
    </w:p>
    <w:p w14:paraId="7843ED7D" w14:textId="77777777" w:rsidR="00087848" w:rsidRDefault="00087848" w:rsidP="00087848">
      <w:pPr>
        <w:rPr>
          <w:b/>
          <w:szCs w:val="22"/>
        </w:rPr>
      </w:pPr>
      <w:r>
        <w:rPr>
          <w:b/>
          <w:szCs w:val="22"/>
        </w:rPr>
        <w:t>Function</w:t>
      </w:r>
      <w:r w:rsidRPr="004A6A0D">
        <w:rPr>
          <w:b/>
          <w:szCs w:val="22"/>
        </w:rPr>
        <w:t>:</w:t>
      </w:r>
    </w:p>
    <w:p w14:paraId="60FABAB0" w14:textId="77777777" w:rsidR="00087848" w:rsidRDefault="00087848" w:rsidP="00087848">
      <w:pPr>
        <w:rPr>
          <w:b/>
          <w:szCs w:val="22"/>
        </w:rPr>
      </w:pPr>
    </w:p>
    <w:p w14:paraId="0DD8C988" w14:textId="77777777" w:rsidR="00087848" w:rsidRPr="00E57376" w:rsidRDefault="00087848" w:rsidP="00087848">
      <w:pPr>
        <w:numPr>
          <w:ilvl w:val="0"/>
          <w:numId w:val="1"/>
        </w:numPr>
        <w:overflowPunct w:val="0"/>
        <w:autoSpaceDE w:val="0"/>
        <w:autoSpaceDN w:val="0"/>
        <w:adjustRightInd w:val="0"/>
        <w:textAlignment w:val="baseline"/>
        <w:rPr>
          <w:rFonts w:eastAsia="Times New Roman"/>
          <w:caps/>
          <w:noProof w:val="0"/>
          <w:szCs w:val="22"/>
        </w:rPr>
      </w:pPr>
      <w:r w:rsidRPr="004A6A0D">
        <w:rPr>
          <w:rFonts w:eastAsia="Times New Roman"/>
          <w:noProof w:val="0"/>
          <w:szCs w:val="22"/>
        </w:rPr>
        <w:t xml:space="preserve">The </w:t>
      </w:r>
      <w:r>
        <w:rPr>
          <w:rFonts w:eastAsia="Times New Roman"/>
          <w:noProof w:val="0"/>
          <w:szCs w:val="22"/>
        </w:rPr>
        <w:t>valve must be usable with/or without actuator, either as an adjustable pressure independent flow limiter or as pressure independent control valve.  The valve must have no requirements for straight up stream or downstream piping.</w:t>
      </w:r>
    </w:p>
    <w:p w14:paraId="50B826D8" w14:textId="77777777" w:rsidR="00087848" w:rsidRPr="0021717A" w:rsidRDefault="00087848" w:rsidP="00087848">
      <w:pPr>
        <w:overflowPunct w:val="0"/>
        <w:autoSpaceDE w:val="0"/>
        <w:autoSpaceDN w:val="0"/>
        <w:adjustRightInd w:val="0"/>
        <w:ind w:left="720"/>
        <w:textAlignment w:val="baseline"/>
        <w:rPr>
          <w:rFonts w:eastAsia="Times New Roman"/>
          <w:caps/>
          <w:noProof w:val="0"/>
          <w:sz w:val="20"/>
          <w:szCs w:val="20"/>
        </w:rPr>
      </w:pPr>
    </w:p>
    <w:p w14:paraId="43B70E66" w14:textId="77777777" w:rsidR="00087848" w:rsidRPr="00006F47" w:rsidRDefault="00087848" w:rsidP="00087848">
      <w:pPr>
        <w:numPr>
          <w:ilvl w:val="0"/>
          <w:numId w:val="1"/>
        </w:numPr>
        <w:overflowPunct w:val="0"/>
        <w:autoSpaceDE w:val="0"/>
        <w:autoSpaceDN w:val="0"/>
        <w:adjustRightInd w:val="0"/>
        <w:textAlignment w:val="baseline"/>
        <w:rPr>
          <w:rFonts w:eastAsia="Times New Roman"/>
          <w:caps/>
          <w:noProof w:val="0"/>
          <w:szCs w:val="22"/>
        </w:rPr>
      </w:pPr>
      <w:r>
        <w:rPr>
          <w:rFonts w:eastAsia="Times New Roman"/>
          <w:noProof w:val="0"/>
          <w:szCs w:val="22"/>
        </w:rPr>
        <w:t>The valve must provide an integrated pressure regulator to control pressure across the control valve orifice, externally adjustable maximum flow setting, and integrated direct flow measuring venturi for flow verification.</w:t>
      </w:r>
    </w:p>
    <w:p w14:paraId="60B04867" w14:textId="77777777" w:rsidR="00087848" w:rsidRPr="0021717A" w:rsidRDefault="00087848" w:rsidP="00087848">
      <w:pPr>
        <w:pStyle w:val="ListParagraph"/>
        <w:rPr>
          <w:rFonts w:eastAsia="Times New Roman"/>
          <w:caps/>
          <w:noProof w:val="0"/>
          <w:sz w:val="20"/>
          <w:szCs w:val="20"/>
        </w:rPr>
      </w:pPr>
    </w:p>
    <w:p w14:paraId="65D68017" w14:textId="77777777" w:rsidR="00087848" w:rsidRPr="00D40D55" w:rsidRDefault="00087848" w:rsidP="00087848">
      <w:pPr>
        <w:numPr>
          <w:ilvl w:val="0"/>
          <w:numId w:val="1"/>
        </w:numPr>
        <w:overflowPunct w:val="0"/>
        <w:autoSpaceDE w:val="0"/>
        <w:autoSpaceDN w:val="0"/>
        <w:adjustRightInd w:val="0"/>
        <w:textAlignment w:val="baseline"/>
        <w:rPr>
          <w:rFonts w:eastAsia="Times New Roman"/>
          <w:caps/>
          <w:noProof w:val="0"/>
          <w:szCs w:val="22"/>
        </w:rPr>
      </w:pPr>
      <w:r>
        <w:rPr>
          <w:rFonts w:eastAsia="Times New Roman"/>
          <w:noProof w:val="0"/>
          <w:szCs w:val="22"/>
        </w:rPr>
        <w:t>The valve must have a single assembly removable flow cartridge for system flushing.  The must have a universal actuator connection system to allow for 360° actuator positioning on the valve housing.</w:t>
      </w:r>
    </w:p>
    <w:p w14:paraId="70FCE90A" w14:textId="77777777" w:rsidR="00087848" w:rsidRPr="0021717A" w:rsidRDefault="00087848" w:rsidP="00087848">
      <w:pPr>
        <w:overflowPunct w:val="0"/>
        <w:autoSpaceDE w:val="0"/>
        <w:autoSpaceDN w:val="0"/>
        <w:adjustRightInd w:val="0"/>
        <w:ind w:left="720"/>
        <w:textAlignment w:val="baseline"/>
        <w:rPr>
          <w:rFonts w:eastAsia="Times New Roman"/>
          <w:caps/>
          <w:noProof w:val="0"/>
          <w:sz w:val="20"/>
          <w:szCs w:val="20"/>
        </w:rPr>
      </w:pPr>
    </w:p>
    <w:p w14:paraId="31851A0C" w14:textId="77777777" w:rsidR="00087848" w:rsidRPr="00D40D55" w:rsidRDefault="00087848" w:rsidP="00087848">
      <w:pPr>
        <w:numPr>
          <w:ilvl w:val="0"/>
          <w:numId w:val="1"/>
        </w:numPr>
        <w:overflowPunct w:val="0"/>
        <w:autoSpaceDE w:val="0"/>
        <w:autoSpaceDN w:val="0"/>
        <w:adjustRightInd w:val="0"/>
        <w:textAlignment w:val="baseline"/>
        <w:rPr>
          <w:rFonts w:eastAsia="Times New Roman"/>
          <w:caps/>
          <w:noProof w:val="0"/>
          <w:szCs w:val="22"/>
        </w:rPr>
      </w:pPr>
      <w:r>
        <w:rPr>
          <w:rFonts w:eastAsia="Times New Roman"/>
          <w:noProof w:val="0"/>
          <w:szCs w:val="22"/>
        </w:rPr>
        <w:t>The valve actuator must have full stroke available from the pre-setting position and provide 100% control valve authority. The valve shall have a linear flow characteristic.</w:t>
      </w:r>
    </w:p>
    <w:p w14:paraId="5A450A1C" w14:textId="77777777" w:rsidR="00087848" w:rsidRDefault="00087848" w:rsidP="00087848">
      <w:pPr>
        <w:rPr>
          <w:b/>
          <w:szCs w:val="22"/>
        </w:rPr>
      </w:pPr>
    </w:p>
    <w:p w14:paraId="25A1C684" w14:textId="77777777" w:rsidR="00087848" w:rsidRDefault="00087848" w:rsidP="00087848">
      <w:pPr>
        <w:rPr>
          <w:b/>
          <w:szCs w:val="22"/>
        </w:rPr>
      </w:pPr>
      <w:r>
        <w:rPr>
          <w:b/>
          <w:szCs w:val="22"/>
        </w:rPr>
        <w:t>Valve Body:</w:t>
      </w:r>
    </w:p>
    <w:p w14:paraId="4A497079" w14:textId="77777777" w:rsidR="00087848" w:rsidRDefault="00087848" w:rsidP="00087848">
      <w:pPr>
        <w:rPr>
          <w:b/>
          <w:szCs w:val="22"/>
        </w:rPr>
      </w:pPr>
    </w:p>
    <w:p w14:paraId="7E6CA679" w14:textId="77777777" w:rsidR="00087848" w:rsidRPr="009526CB" w:rsidRDefault="00087848" w:rsidP="00087848">
      <w:pPr>
        <w:pStyle w:val="ListParagraph"/>
        <w:numPr>
          <w:ilvl w:val="0"/>
          <w:numId w:val="4"/>
        </w:numPr>
        <w:rPr>
          <w:b/>
          <w:szCs w:val="22"/>
        </w:rPr>
      </w:pPr>
      <w:r w:rsidRPr="00593ABB">
        <w:rPr>
          <w:rFonts w:eastAsia="Times New Roman"/>
          <w:noProof w:val="0"/>
          <w:szCs w:val="22"/>
        </w:rPr>
        <w:t>Valves 2” and smaller shall be a forged DZR brass, (2) pressure/temperature test ports</w:t>
      </w:r>
      <w:r>
        <w:rPr>
          <w:rFonts w:eastAsia="Times New Roman"/>
          <w:noProof w:val="0"/>
          <w:szCs w:val="22"/>
        </w:rPr>
        <w:t xml:space="preserve"> for flow measuring</w:t>
      </w:r>
      <w:r w:rsidRPr="00593ABB">
        <w:rPr>
          <w:rFonts w:eastAsia="Times New Roman"/>
          <w:noProof w:val="0"/>
          <w:szCs w:val="22"/>
        </w:rPr>
        <w:t xml:space="preserve">, EPDM </w:t>
      </w:r>
      <w:proofErr w:type="spellStart"/>
      <w:r w:rsidRPr="00593ABB">
        <w:rPr>
          <w:rFonts w:eastAsia="Times New Roman"/>
          <w:noProof w:val="0"/>
          <w:szCs w:val="22"/>
        </w:rPr>
        <w:t>o-ring</w:t>
      </w:r>
      <w:proofErr w:type="spellEnd"/>
      <w:r w:rsidRPr="00593ABB">
        <w:rPr>
          <w:rFonts w:eastAsia="Times New Roman"/>
          <w:noProof w:val="0"/>
          <w:szCs w:val="22"/>
        </w:rPr>
        <w:t xml:space="preserve"> seals, </w:t>
      </w:r>
      <w:r>
        <w:rPr>
          <w:rFonts w:eastAsia="Times New Roman"/>
          <w:noProof w:val="0"/>
          <w:szCs w:val="22"/>
        </w:rPr>
        <w:t>permanent flow direction indication arrow</w:t>
      </w:r>
      <w:r w:rsidRPr="00593ABB">
        <w:rPr>
          <w:rFonts w:eastAsia="Times New Roman"/>
          <w:noProof w:val="0"/>
          <w:szCs w:val="22"/>
        </w:rPr>
        <w:t>, and rated at 360 PSI WOG, 250 degrees F.  Valves shall be available in NPT connections; like</w:t>
      </w:r>
      <w:r>
        <w:rPr>
          <w:rFonts w:eastAsia="Times New Roman"/>
          <w:noProof w:val="0"/>
          <w:szCs w:val="22"/>
        </w:rPr>
        <w:t xml:space="preserve"> the</w:t>
      </w:r>
      <w:r w:rsidRPr="00593ABB">
        <w:rPr>
          <w:rFonts w:eastAsia="Times New Roman"/>
          <w:noProof w:val="0"/>
          <w:szCs w:val="22"/>
        </w:rPr>
        <w:t xml:space="preserve"> Nexus Dynamic™ (Model ND.)</w:t>
      </w:r>
      <w:r w:rsidRPr="00593ABB">
        <w:rPr>
          <w:rFonts w:eastAsia="Times New Roman"/>
          <w:caps/>
          <w:noProof w:val="0"/>
          <w:szCs w:val="22"/>
        </w:rPr>
        <w:t xml:space="preserve">  </w:t>
      </w:r>
    </w:p>
    <w:p w14:paraId="293B6BF7" w14:textId="77777777" w:rsidR="00087848" w:rsidRPr="0021717A" w:rsidRDefault="00087848" w:rsidP="00087848">
      <w:pPr>
        <w:pStyle w:val="ListParagraph"/>
        <w:rPr>
          <w:b/>
          <w:sz w:val="20"/>
          <w:szCs w:val="20"/>
        </w:rPr>
      </w:pPr>
    </w:p>
    <w:p w14:paraId="67A9ADE2" w14:textId="77777777" w:rsidR="00087848" w:rsidRPr="00C51211" w:rsidRDefault="00087848" w:rsidP="00087848">
      <w:pPr>
        <w:numPr>
          <w:ilvl w:val="0"/>
          <w:numId w:val="4"/>
        </w:numPr>
        <w:overflowPunct w:val="0"/>
        <w:autoSpaceDE w:val="0"/>
        <w:autoSpaceDN w:val="0"/>
        <w:adjustRightInd w:val="0"/>
        <w:textAlignment w:val="baseline"/>
        <w:rPr>
          <w:b/>
          <w:szCs w:val="22"/>
        </w:rPr>
      </w:pPr>
      <w:r w:rsidRPr="009526CB">
        <w:rPr>
          <w:rFonts w:eastAsia="Times New Roman"/>
          <w:noProof w:val="0"/>
          <w:szCs w:val="22"/>
        </w:rPr>
        <w:t xml:space="preserve">Optional extended temperature test plugs shall be available.  </w:t>
      </w:r>
    </w:p>
    <w:p w14:paraId="7380980E" w14:textId="77777777" w:rsidR="00087848" w:rsidRPr="0021717A" w:rsidRDefault="00087848" w:rsidP="00087848">
      <w:pPr>
        <w:pStyle w:val="ListParagraph"/>
        <w:rPr>
          <w:b/>
          <w:sz w:val="20"/>
          <w:szCs w:val="20"/>
        </w:rPr>
      </w:pPr>
    </w:p>
    <w:p w14:paraId="275652F0" w14:textId="77777777" w:rsidR="00087848" w:rsidRPr="00E227F5" w:rsidRDefault="00087848" w:rsidP="00087848">
      <w:pPr>
        <w:numPr>
          <w:ilvl w:val="0"/>
          <w:numId w:val="4"/>
        </w:numPr>
        <w:overflowPunct w:val="0"/>
        <w:autoSpaceDE w:val="0"/>
        <w:autoSpaceDN w:val="0"/>
        <w:adjustRightInd w:val="0"/>
        <w:textAlignment w:val="baseline"/>
        <w:rPr>
          <w:b/>
          <w:szCs w:val="22"/>
        </w:rPr>
      </w:pPr>
      <w:r>
        <w:rPr>
          <w:szCs w:val="22"/>
        </w:rPr>
        <w:t>The valve</w:t>
      </w:r>
      <w:r>
        <w:rPr>
          <w:rFonts w:eastAsia="Times New Roman"/>
          <w:noProof w:val="0"/>
          <w:szCs w:val="22"/>
        </w:rPr>
        <w:t xml:space="preserve"> shall carry a 5-year product warranty.</w:t>
      </w:r>
    </w:p>
    <w:p w14:paraId="35B892C9" w14:textId="77777777" w:rsidR="00087848" w:rsidRDefault="00087848" w:rsidP="00087848">
      <w:pPr>
        <w:pStyle w:val="ListParagraph"/>
        <w:rPr>
          <w:b/>
          <w:szCs w:val="22"/>
        </w:rPr>
      </w:pPr>
    </w:p>
    <w:p w14:paraId="04E3FB72" w14:textId="77777777" w:rsidR="00087848" w:rsidRDefault="00087848" w:rsidP="00087848">
      <w:pPr>
        <w:overflowPunct w:val="0"/>
        <w:autoSpaceDE w:val="0"/>
        <w:autoSpaceDN w:val="0"/>
        <w:adjustRightInd w:val="0"/>
        <w:textAlignment w:val="baseline"/>
        <w:rPr>
          <w:b/>
          <w:szCs w:val="22"/>
        </w:rPr>
      </w:pPr>
    </w:p>
    <w:p w14:paraId="3931F066" w14:textId="77777777" w:rsidR="00087848" w:rsidRDefault="00087848" w:rsidP="00087848">
      <w:pPr>
        <w:overflowPunct w:val="0"/>
        <w:autoSpaceDE w:val="0"/>
        <w:autoSpaceDN w:val="0"/>
        <w:adjustRightInd w:val="0"/>
        <w:textAlignment w:val="baseline"/>
        <w:rPr>
          <w:b/>
          <w:szCs w:val="22"/>
        </w:rPr>
      </w:pPr>
    </w:p>
    <w:p w14:paraId="4BE0446F" w14:textId="77777777" w:rsidR="00087848" w:rsidRPr="009526CB" w:rsidRDefault="00087848" w:rsidP="00087848">
      <w:pPr>
        <w:overflowPunct w:val="0"/>
        <w:autoSpaceDE w:val="0"/>
        <w:autoSpaceDN w:val="0"/>
        <w:adjustRightInd w:val="0"/>
        <w:textAlignment w:val="baseline"/>
        <w:rPr>
          <w:b/>
          <w:szCs w:val="22"/>
        </w:rPr>
      </w:pPr>
    </w:p>
    <w:p w14:paraId="75AE25D2" w14:textId="77777777" w:rsidR="00087848" w:rsidRPr="00593ABB" w:rsidRDefault="00087848" w:rsidP="00087848">
      <w:pPr>
        <w:pStyle w:val="ListParagraph"/>
        <w:rPr>
          <w:b/>
          <w:szCs w:val="22"/>
        </w:rPr>
      </w:pPr>
    </w:p>
    <w:p w14:paraId="34EDDEC7" w14:textId="77777777" w:rsidR="00087848" w:rsidRDefault="00087848" w:rsidP="00087848">
      <w:pPr>
        <w:rPr>
          <w:b/>
          <w:szCs w:val="22"/>
        </w:rPr>
      </w:pPr>
      <w:r>
        <w:rPr>
          <w:b/>
          <w:szCs w:val="22"/>
        </w:rPr>
        <w:t>Flow Regulation Cartridge:</w:t>
      </w:r>
    </w:p>
    <w:p w14:paraId="24884AF1" w14:textId="77777777" w:rsidR="00087848" w:rsidRPr="00143CEA" w:rsidRDefault="00087848" w:rsidP="00087848">
      <w:pPr>
        <w:rPr>
          <w:b/>
          <w:sz w:val="16"/>
          <w:szCs w:val="16"/>
        </w:rPr>
      </w:pPr>
    </w:p>
    <w:p w14:paraId="1BAFC071" w14:textId="77777777" w:rsidR="00087848" w:rsidRPr="004F0582" w:rsidRDefault="00087848" w:rsidP="00087848">
      <w:pPr>
        <w:pStyle w:val="ListParagraph"/>
        <w:numPr>
          <w:ilvl w:val="0"/>
          <w:numId w:val="5"/>
        </w:numPr>
        <w:overflowPunct w:val="0"/>
        <w:autoSpaceDE w:val="0"/>
        <w:autoSpaceDN w:val="0"/>
        <w:adjustRightInd w:val="0"/>
        <w:textAlignment w:val="baseline"/>
        <w:rPr>
          <w:rFonts w:eastAsia="Times New Roman"/>
          <w:caps/>
          <w:noProof w:val="0"/>
          <w:szCs w:val="22"/>
        </w:rPr>
      </w:pPr>
      <w:r w:rsidRPr="00F739EA">
        <w:rPr>
          <w:rFonts w:eastAsia="Times New Roman"/>
          <w:noProof w:val="0"/>
          <w:szCs w:val="22"/>
        </w:rPr>
        <w:t>The flow c</w:t>
      </w:r>
      <w:r>
        <w:rPr>
          <w:rFonts w:eastAsia="Times New Roman"/>
          <w:noProof w:val="0"/>
          <w:szCs w:val="22"/>
        </w:rPr>
        <w:t xml:space="preserve">artridge’s design shall control the regulation of pressure with and integrated EPDM diaphragm, stainless steel spring pressure control disc. </w:t>
      </w:r>
    </w:p>
    <w:p w14:paraId="40766E11" w14:textId="77777777" w:rsidR="00087848" w:rsidRPr="00143CEA" w:rsidRDefault="00087848" w:rsidP="00087848">
      <w:pPr>
        <w:overflowPunct w:val="0"/>
        <w:autoSpaceDE w:val="0"/>
        <w:autoSpaceDN w:val="0"/>
        <w:adjustRightInd w:val="0"/>
        <w:ind w:left="720"/>
        <w:textAlignment w:val="baseline"/>
        <w:rPr>
          <w:rFonts w:eastAsia="Times New Roman"/>
          <w:caps/>
          <w:noProof w:val="0"/>
          <w:sz w:val="16"/>
          <w:szCs w:val="16"/>
        </w:rPr>
      </w:pPr>
    </w:p>
    <w:p w14:paraId="1A6952CD" w14:textId="77777777" w:rsidR="00087848" w:rsidRPr="004A6A0D" w:rsidRDefault="00087848" w:rsidP="00087848">
      <w:pPr>
        <w:numPr>
          <w:ilvl w:val="0"/>
          <w:numId w:val="5"/>
        </w:numPr>
        <w:overflowPunct w:val="0"/>
        <w:autoSpaceDE w:val="0"/>
        <w:autoSpaceDN w:val="0"/>
        <w:adjustRightInd w:val="0"/>
        <w:textAlignment w:val="baseline"/>
        <w:rPr>
          <w:rFonts w:eastAsia="Times New Roman"/>
          <w:caps/>
          <w:noProof w:val="0"/>
          <w:szCs w:val="22"/>
        </w:rPr>
      </w:pPr>
      <w:r w:rsidRPr="004A6A0D">
        <w:rPr>
          <w:rFonts w:eastAsia="Times New Roman"/>
          <w:noProof w:val="0"/>
          <w:szCs w:val="22"/>
        </w:rPr>
        <w:t>The flow cartridge shall be factory flow tested and calibrated t</w:t>
      </w:r>
      <w:r>
        <w:rPr>
          <w:rFonts w:eastAsia="Times New Roman"/>
          <w:noProof w:val="0"/>
          <w:szCs w:val="22"/>
        </w:rPr>
        <w:t>o maintain accuracy of ±7</w:t>
      </w:r>
      <w:r w:rsidRPr="004A6A0D">
        <w:rPr>
          <w:rFonts w:eastAsia="Times New Roman"/>
          <w:noProof w:val="0"/>
          <w:szCs w:val="22"/>
        </w:rPr>
        <w:t>%; the accu</w:t>
      </w:r>
      <w:r>
        <w:rPr>
          <w:rFonts w:eastAsia="Times New Roman"/>
          <w:noProof w:val="0"/>
          <w:szCs w:val="22"/>
        </w:rPr>
        <w:t xml:space="preserve">racy shall be maintained over a standard operating range of 4 – 58 PSID and consist of an integrated Venturi nozzle with ±3% accuracy for direct flow measurement. </w:t>
      </w:r>
    </w:p>
    <w:p w14:paraId="559A4708" w14:textId="77777777" w:rsidR="00087848" w:rsidRPr="00143CEA" w:rsidRDefault="00087848" w:rsidP="00087848">
      <w:pPr>
        <w:ind w:left="720"/>
        <w:rPr>
          <w:rFonts w:eastAsia="Times New Roman"/>
          <w:caps/>
          <w:noProof w:val="0"/>
          <w:sz w:val="16"/>
          <w:szCs w:val="16"/>
        </w:rPr>
      </w:pPr>
    </w:p>
    <w:p w14:paraId="1AA3DF77" w14:textId="77777777" w:rsidR="00087848" w:rsidRPr="00143CEA" w:rsidRDefault="00087848" w:rsidP="00087848">
      <w:pPr>
        <w:numPr>
          <w:ilvl w:val="0"/>
          <w:numId w:val="5"/>
        </w:numPr>
        <w:overflowPunct w:val="0"/>
        <w:autoSpaceDE w:val="0"/>
        <w:autoSpaceDN w:val="0"/>
        <w:adjustRightInd w:val="0"/>
        <w:textAlignment w:val="baseline"/>
        <w:rPr>
          <w:rFonts w:eastAsia="Times New Roman"/>
          <w:caps/>
          <w:noProof w:val="0"/>
          <w:szCs w:val="22"/>
        </w:rPr>
      </w:pPr>
      <w:r w:rsidRPr="004A6A0D">
        <w:rPr>
          <w:rFonts w:eastAsia="Times New Roman"/>
          <w:noProof w:val="0"/>
          <w:szCs w:val="22"/>
        </w:rPr>
        <w:t xml:space="preserve">The flow cartridge shall be </w:t>
      </w:r>
      <w:r>
        <w:rPr>
          <w:rFonts w:eastAsia="Times New Roman"/>
          <w:noProof w:val="0"/>
          <w:szCs w:val="22"/>
        </w:rPr>
        <w:t>color coded to indicate the flow range for each valve size and must be visible without removing the cartridge.</w:t>
      </w:r>
      <w:r w:rsidRPr="004A6A0D">
        <w:rPr>
          <w:rFonts w:eastAsia="Times New Roman"/>
          <w:noProof w:val="0"/>
          <w:szCs w:val="22"/>
        </w:rPr>
        <w:t xml:space="preserve">  Cartridges that are not marked with the</w:t>
      </w:r>
      <w:r>
        <w:rPr>
          <w:rFonts w:eastAsia="Times New Roman"/>
          <w:noProof w:val="0"/>
          <w:szCs w:val="22"/>
        </w:rPr>
        <w:t xml:space="preserve"> manufacture </w:t>
      </w:r>
      <w:r w:rsidRPr="004A6A0D">
        <w:rPr>
          <w:rFonts w:eastAsia="Times New Roman"/>
          <w:noProof w:val="0"/>
          <w:szCs w:val="22"/>
        </w:rPr>
        <w:t>flow</w:t>
      </w:r>
      <w:r>
        <w:rPr>
          <w:rFonts w:eastAsia="Times New Roman"/>
          <w:noProof w:val="0"/>
          <w:szCs w:val="22"/>
        </w:rPr>
        <w:t xml:space="preserve"> rate range</w:t>
      </w:r>
      <w:r w:rsidRPr="004A6A0D">
        <w:rPr>
          <w:rFonts w:eastAsia="Times New Roman"/>
          <w:noProof w:val="0"/>
          <w:szCs w:val="22"/>
        </w:rPr>
        <w:t xml:space="preserve"> or </w:t>
      </w:r>
      <w:r>
        <w:rPr>
          <w:rFonts w:eastAsia="Times New Roman"/>
          <w:noProof w:val="0"/>
          <w:szCs w:val="22"/>
        </w:rPr>
        <w:t>must be removed to verify are not acceptable.</w:t>
      </w:r>
    </w:p>
    <w:p w14:paraId="1BC09EBE" w14:textId="77777777" w:rsidR="00087848" w:rsidRPr="00143CEA" w:rsidRDefault="00087848" w:rsidP="00087848">
      <w:pPr>
        <w:overflowPunct w:val="0"/>
        <w:autoSpaceDE w:val="0"/>
        <w:autoSpaceDN w:val="0"/>
        <w:adjustRightInd w:val="0"/>
        <w:ind w:left="720"/>
        <w:textAlignment w:val="baseline"/>
        <w:rPr>
          <w:rFonts w:eastAsia="Times New Roman"/>
          <w:caps/>
          <w:noProof w:val="0"/>
          <w:sz w:val="16"/>
          <w:szCs w:val="16"/>
        </w:rPr>
      </w:pPr>
    </w:p>
    <w:p w14:paraId="47968F94" w14:textId="77777777" w:rsidR="00087848" w:rsidRPr="002A720B" w:rsidRDefault="00087848" w:rsidP="00087848">
      <w:pPr>
        <w:numPr>
          <w:ilvl w:val="0"/>
          <w:numId w:val="5"/>
        </w:numPr>
        <w:overflowPunct w:val="0"/>
        <w:autoSpaceDE w:val="0"/>
        <w:autoSpaceDN w:val="0"/>
        <w:adjustRightInd w:val="0"/>
        <w:textAlignment w:val="baseline"/>
        <w:rPr>
          <w:rFonts w:eastAsia="Times New Roman"/>
          <w:caps/>
          <w:noProof w:val="0"/>
          <w:szCs w:val="22"/>
        </w:rPr>
      </w:pPr>
      <w:r w:rsidRPr="004A6A0D">
        <w:rPr>
          <w:rFonts w:eastAsia="Times New Roman"/>
          <w:noProof w:val="0"/>
          <w:szCs w:val="22"/>
        </w:rPr>
        <w:t>The flow cartridge shall ca</w:t>
      </w:r>
      <w:r>
        <w:rPr>
          <w:rFonts w:eastAsia="Times New Roman"/>
          <w:noProof w:val="0"/>
          <w:szCs w:val="22"/>
        </w:rPr>
        <w:t>rry a 5-year product warranty.</w:t>
      </w:r>
      <w:r w:rsidRPr="009526CB">
        <w:rPr>
          <w:rFonts w:eastAsia="Times New Roman"/>
          <w:caps/>
          <w:noProof w:val="0"/>
          <w:szCs w:val="22"/>
        </w:rPr>
        <w:br/>
      </w:r>
    </w:p>
    <w:p w14:paraId="760EEF36" w14:textId="77777777" w:rsidR="00087848" w:rsidRDefault="00087848" w:rsidP="00087848">
      <w:pPr>
        <w:rPr>
          <w:b/>
          <w:szCs w:val="22"/>
        </w:rPr>
      </w:pPr>
      <w:r>
        <w:rPr>
          <w:b/>
          <w:szCs w:val="22"/>
        </w:rPr>
        <w:t>Actuators:</w:t>
      </w:r>
    </w:p>
    <w:p w14:paraId="35FBF1A4" w14:textId="77777777" w:rsidR="00087848" w:rsidRDefault="00087848" w:rsidP="00087848">
      <w:pPr>
        <w:rPr>
          <w:b/>
          <w:szCs w:val="22"/>
        </w:rPr>
      </w:pPr>
    </w:p>
    <w:p w14:paraId="1D71E058" w14:textId="77777777" w:rsidR="00087848" w:rsidRPr="009526CB" w:rsidRDefault="00087848" w:rsidP="00087848">
      <w:pPr>
        <w:pStyle w:val="ListParagraph"/>
        <w:numPr>
          <w:ilvl w:val="0"/>
          <w:numId w:val="6"/>
        </w:numPr>
        <w:rPr>
          <w:b/>
          <w:szCs w:val="22"/>
        </w:rPr>
      </w:pPr>
      <w:r>
        <w:rPr>
          <w:rFonts w:eastAsia="Times New Roman"/>
          <w:noProof w:val="0"/>
          <w:szCs w:val="22"/>
        </w:rPr>
        <w:t>Actuator shall be manufactured by Nexus Valve or approved equal.</w:t>
      </w:r>
    </w:p>
    <w:p w14:paraId="34B8598D" w14:textId="77777777" w:rsidR="00087848" w:rsidRPr="0021717A" w:rsidRDefault="00087848" w:rsidP="00087848">
      <w:pPr>
        <w:pStyle w:val="ListParagraph"/>
        <w:rPr>
          <w:b/>
          <w:sz w:val="20"/>
          <w:szCs w:val="20"/>
        </w:rPr>
      </w:pPr>
    </w:p>
    <w:p w14:paraId="1F5037F0" w14:textId="77777777" w:rsidR="00087848" w:rsidRPr="00AA0FD1" w:rsidRDefault="00087848" w:rsidP="00087848">
      <w:pPr>
        <w:numPr>
          <w:ilvl w:val="0"/>
          <w:numId w:val="6"/>
        </w:numPr>
        <w:overflowPunct w:val="0"/>
        <w:autoSpaceDE w:val="0"/>
        <w:autoSpaceDN w:val="0"/>
        <w:adjustRightInd w:val="0"/>
        <w:textAlignment w:val="baseline"/>
        <w:rPr>
          <w:b/>
          <w:szCs w:val="22"/>
        </w:rPr>
      </w:pPr>
      <w:r>
        <w:rPr>
          <w:rFonts w:eastAsia="Times New Roman"/>
          <w:noProof w:val="0"/>
          <w:szCs w:val="22"/>
        </w:rPr>
        <w:t>Actuator shall be provided by Nexus Valve or “By Others”.</w:t>
      </w:r>
    </w:p>
    <w:p w14:paraId="637EB120" w14:textId="77777777" w:rsidR="00087848" w:rsidRPr="0021717A" w:rsidRDefault="00087848" w:rsidP="00087848">
      <w:pPr>
        <w:pStyle w:val="ListParagraph"/>
        <w:rPr>
          <w:b/>
          <w:sz w:val="20"/>
          <w:szCs w:val="20"/>
        </w:rPr>
      </w:pPr>
    </w:p>
    <w:p w14:paraId="0E5E08A5" w14:textId="77777777" w:rsidR="00087848" w:rsidRPr="00C51211" w:rsidRDefault="00087848" w:rsidP="00087848">
      <w:pPr>
        <w:numPr>
          <w:ilvl w:val="0"/>
          <w:numId w:val="6"/>
        </w:numPr>
        <w:overflowPunct w:val="0"/>
        <w:autoSpaceDE w:val="0"/>
        <w:autoSpaceDN w:val="0"/>
        <w:adjustRightInd w:val="0"/>
        <w:textAlignment w:val="baseline"/>
        <w:rPr>
          <w:b/>
          <w:szCs w:val="22"/>
        </w:rPr>
      </w:pPr>
      <w:r>
        <w:rPr>
          <w:szCs w:val="22"/>
        </w:rPr>
        <w:t>Actuator control signal shall either be; 0-10v proportional, 2-10v proportional, On/Off, or 3-Position Floating.</w:t>
      </w:r>
    </w:p>
    <w:p w14:paraId="487E6A9F" w14:textId="77777777" w:rsidR="00087848" w:rsidRPr="0021717A" w:rsidRDefault="00087848" w:rsidP="00087848">
      <w:pPr>
        <w:pStyle w:val="ListParagraph"/>
        <w:rPr>
          <w:b/>
          <w:sz w:val="20"/>
          <w:szCs w:val="20"/>
        </w:rPr>
      </w:pPr>
    </w:p>
    <w:p w14:paraId="34CD36F2" w14:textId="77777777" w:rsidR="00087848" w:rsidRPr="002A720B" w:rsidRDefault="00087848" w:rsidP="00087848">
      <w:pPr>
        <w:numPr>
          <w:ilvl w:val="0"/>
          <w:numId w:val="6"/>
        </w:numPr>
        <w:overflowPunct w:val="0"/>
        <w:autoSpaceDE w:val="0"/>
        <w:autoSpaceDN w:val="0"/>
        <w:adjustRightInd w:val="0"/>
        <w:textAlignment w:val="baseline"/>
        <w:rPr>
          <w:b/>
          <w:szCs w:val="22"/>
        </w:rPr>
      </w:pPr>
      <w:r>
        <w:rPr>
          <w:rFonts w:eastAsia="Times New Roman"/>
          <w:noProof w:val="0"/>
          <w:szCs w:val="22"/>
        </w:rPr>
        <w:t>Actuators are warranted per the supplier’s terms &amp; conditions.</w:t>
      </w:r>
    </w:p>
    <w:p w14:paraId="3FC1ABF2" w14:textId="77777777" w:rsidR="00087848" w:rsidRDefault="00087848" w:rsidP="00087848">
      <w:pPr>
        <w:overflowPunct w:val="0"/>
        <w:autoSpaceDE w:val="0"/>
        <w:autoSpaceDN w:val="0"/>
        <w:adjustRightInd w:val="0"/>
        <w:ind w:left="720"/>
        <w:textAlignment w:val="baseline"/>
        <w:rPr>
          <w:b/>
          <w:szCs w:val="22"/>
        </w:rPr>
      </w:pPr>
    </w:p>
    <w:p w14:paraId="03EE2814" w14:textId="77777777" w:rsidR="00087848" w:rsidRPr="002A720B" w:rsidRDefault="00087848" w:rsidP="00087848">
      <w:pPr>
        <w:rPr>
          <w:b/>
          <w:szCs w:val="22"/>
        </w:rPr>
      </w:pPr>
      <w:r>
        <w:rPr>
          <w:b/>
          <w:szCs w:val="22"/>
        </w:rPr>
        <w:t>General:</w:t>
      </w:r>
    </w:p>
    <w:p w14:paraId="62842D7A" w14:textId="77777777" w:rsidR="00087848" w:rsidRPr="0021717A" w:rsidRDefault="00087848" w:rsidP="00087848">
      <w:pPr>
        <w:pStyle w:val="ListParagraph"/>
        <w:rPr>
          <w:b/>
          <w:sz w:val="20"/>
          <w:szCs w:val="20"/>
        </w:rPr>
      </w:pPr>
    </w:p>
    <w:p w14:paraId="03D19397" w14:textId="77777777" w:rsidR="00087848" w:rsidRDefault="00087848" w:rsidP="00087848">
      <w:pPr>
        <w:pStyle w:val="ListParagraph"/>
        <w:numPr>
          <w:ilvl w:val="0"/>
          <w:numId w:val="7"/>
        </w:numPr>
        <w:overflowPunct w:val="0"/>
        <w:autoSpaceDE w:val="0"/>
        <w:autoSpaceDN w:val="0"/>
        <w:adjustRightInd w:val="0"/>
        <w:textAlignment w:val="baseline"/>
        <w:rPr>
          <w:rFonts w:eastAsia="Times New Roman"/>
          <w:noProof w:val="0"/>
          <w:szCs w:val="22"/>
        </w:rPr>
      </w:pPr>
      <w:r w:rsidRPr="002A720B">
        <w:rPr>
          <w:rFonts w:eastAsia="Times New Roman"/>
          <w:noProof w:val="0"/>
          <w:szCs w:val="22"/>
        </w:rPr>
        <w:t>Contractor should, to reduce field connections and leak points, provide pre-assembled kit including isolation valves, strainers, unions and other required accessories.  See Coil Pak™ specification for requirements in section_______________.</w:t>
      </w:r>
    </w:p>
    <w:p w14:paraId="1A17BB69" w14:textId="77777777" w:rsidR="00087848" w:rsidRPr="0021717A" w:rsidRDefault="00087848" w:rsidP="00087848">
      <w:pPr>
        <w:pStyle w:val="ListParagraph"/>
        <w:overflowPunct w:val="0"/>
        <w:autoSpaceDE w:val="0"/>
        <w:autoSpaceDN w:val="0"/>
        <w:adjustRightInd w:val="0"/>
        <w:textAlignment w:val="baseline"/>
        <w:rPr>
          <w:rFonts w:eastAsia="Times New Roman"/>
          <w:noProof w:val="0"/>
          <w:sz w:val="20"/>
          <w:szCs w:val="20"/>
        </w:rPr>
      </w:pPr>
    </w:p>
    <w:p w14:paraId="1B7D5D6D" w14:textId="77777777" w:rsidR="00087848" w:rsidRDefault="00087848" w:rsidP="00087848">
      <w:pPr>
        <w:pStyle w:val="ListParagraph"/>
        <w:numPr>
          <w:ilvl w:val="0"/>
          <w:numId w:val="7"/>
        </w:numPr>
        <w:overflowPunct w:val="0"/>
        <w:autoSpaceDE w:val="0"/>
        <w:autoSpaceDN w:val="0"/>
        <w:adjustRightInd w:val="0"/>
        <w:textAlignment w:val="baseline"/>
        <w:rPr>
          <w:rFonts w:eastAsia="Times New Roman"/>
          <w:noProof w:val="0"/>
          <w:szCs w:val="22"/>
        </w:rPr>
      </w:pPr>
      <w:r w:rsidRPr="002A720B">
        <w:rPr>
          <w:rFonts w:eastAsia="Times New Roman"/>
          <w:noProof w:val="0"/>
          <w:szCs w:val="22"/>
        </w:rPr>
        <w:t xml:space="preserve">Contractor should, to reduce system flushing time around the coil, strainer, and PICV without the removal of the strainer screen or flow regulation cartridge, provide permanent bypass piping including tees, unions and isolations valves prior to all factory cleaned components.  See </w:t>
      </w:r>
      <w:proofErr w:type="spellStart"/>
      <w:r w:rsidRPr="002A720B">
        <w:rPr>
          <w:rFonts w:eastAsia="Times New Roman"/>
          <w:noProof w:val="0"/>
          <w:szCs w:val="22"/>
        </w:rPr>
        <w:t>UltraBK</w:t>
      </w:r>
      <w:proofErr w:type="spellEnd"/>
      <w:r w:rsidRPr="002A720B">
        <w:rPr>
          <w:rFonts w:eastAsia="Times New Roman"/>
          <w:noProof w:val="0"/>
          <w:szCs w:val="22"/>
        </w:rPr>
        <w:t>™ specification for</w:t>
      </w:r>
      <w:r>
        <w:rPr>
          <w:rFonts w:eastAsia="Times New Roman"/>
          <w:noProof w:val="0"/>
          <w:szCs w:val="22"/>
        </w:rPr>
        <w:t xml:space="preserve"> the</w:t>
      </w:r>
      <w:r w:rsidRPr="002A720B">
        <w:rPr>
          <w:rFonts w:eastAsia="Times New Roman"/>
          <w:noProof w:val="0"/>
          <w:szCs w:val="22"/>
        </w:rPr>
        <w:t xml:space="preserve"> requirements in section_______________.</w:t>
      </w:r>
    </w:p>
    <w:p w14:paraId="3375CD81" w14:textId="77777777" w:rsidR="00087848" w:rsidRPr="0021717A" w:rsidRDefault="00087848" w:rsidP="00087848">
      <w:pPr>
        <w:pStyle w:val="ListParagraph"/>
        <w:rPr>
          <w:rFonts w:eastAsia="Times New Roman"/>
          <w:noProof w:val="0"/>
          <w:sz w:val="20"/>
          <w:szCs w:val="20"/>
        </w:rPr>
      </w:pPr>
    </w:p>
    <w:p w14:paraId="49599C76" w14:textId="77777777" w:rsidR="00087848" w:rsidRPr="002A720B" w:rsidRDefault="00087848" w:rsidP="00087848">
      <w:pPr>
        <w:pStyle w:val="ListParagraph"/>
        <w:numPr>
          <w:ilvl w:val="0"/>
          <w:numId w:val="7"/>
        </w:numPr>
        <w:overflowPunct w:val="0"/>
        <w:autoSpaceDE w:val="0"/>
        <w:autoSpaceDN w:val="0"/>
        <w:adjustRightInd w:val="0"/>
        <w:textAlignment w:val="baseline"/>
        <w:rPr>
          <w:rFonts w:eastAsia="Times New Roman"/>
          <w:noProof w:val="0"/>
          <w:szCs w:val="22"/>
        </w:rPr>
      </w:pPr>
      <w:r w:rsidRPr="002A720B">
        <w:rPr>
          <w:rFonts w:eastAsia="Times New Roman"/>
          <w:noProof w:val="0"/>
          <w:szCs w:val="22"/>
        </w:rPr>
        <w:t>Approved Manufacturers:</w:t>
      </w:r>
    </w:p>
    <w:p w14:paraId="775D2ADE" w14:textId="3AC0CBDF" w:rsidR="00977643" w:rsidRPr="00087848" w:rsidRDefault="00087848" w:rsidP="00087848">
      <w:pPr>
        <w:overflowPunct w:val="0"/>
        <w:autoSpaceDE w:val="0"/>
        <w:autoSpaceDN w:val="0"/>
        <w:adjustRightInd w:val="0"/>
        <w:textAlignment w:val="baseline"/>
        <w:rPr>
          <w:rFonts w:eastAsia="Times New Roman"/>
          <w:noProof w:val="0"/>
          <w:szCs w:val="22"/>
        </w:rPr>
      </w:pPr>
      <w:r>
        <w:rPr>
          <w:rFonts w:eastAsia="Times New Roman"/>
          <w:noProof w:val="0"/>
          <w:szCs w:val="22"/>
        </w:rPr>
        <w:t xml:space="preserve">            </w:t>
      </w:r>
      <w:r w:rsidRPr="004A6A0D">
        <w:rPr>
          <w:rFonts w:eastAsia="Times New Roman"/>
          <w:noProof w:val="0"/>
          <w:szCs w:val="22"/>
        </w:rPr>
        <w:t>Nexus Valve, Inc.</w:t>
      </w:r>
      <w:r w:rsidR="00977643" w:rsidRPr="00087848">
        <w:rPr>
          <w:rFonts w:ascii="Verdana" w:eastAsia="Times New Roman" w:hAnsi="Verdana"/>
          <w:noProof w:val="0"/>
          <w:sz w:val="20"/>
          <w:szCs w:val="20"/>
        </w:rPr>
        <w:br/>
      </w:r>
    </w:p>
    <w:p w14:paraId="4C4281E8" w14:textId="77777777" w:rsidR="00977643" w:rsidRPr="00D339F4" w:rsidRDefault="00977643">
      <w:pPr>
        <w:jc w:val="both"/>
        <w:rPr>
          <w:rFonts w:ascii="Source Sans Pro" w:hAnsi="Source Sans Pro"/>
          <w:sz w:val="21"/>
        </w:rPr>
      </w:pPr>
    </w:p>
    <w:sectPr w:rsidR="00977643" w:rsidRPr="00D339F4" w:rsidSect="00F44D69">
      <w:headerReference w:type="default" r:id="rId7"/>
      <w:footerReference w:type="default" r:id="rId8"/>
      <w:pgSz w:w="12240" w:h="15840"/>
      <w:pgMar w:top="2160" w:right="1080" w:bottom="1699"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586DC" w14:textId="77777777" w:rsidR="0003020D" w:rsidRDefault="0003020D" w:rsidP="00EB2D4E">
      <w:r>
        <w:separator/>
      </w:r>
    </w:p>
  </w:endnote>
  <w:endnote w:type="continuationSeparator" w:id="0">
    <w:p w14:paraId="46AA413A" w14:textId="77777777" w:rsidR="0003020D" w:rsidRDefault="0003020D" w:rsidP="00EB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INOT-Medium">
    <w:altName w:val="Arial"/>
    <w:panose1 w:val="020B0604020202020204"/>
    <w:charset w:val="00"/>
    <w:family w:val="swiss"/>
    <w:notTrueType/>
    <w:pitch w:val="variable"/>
    <w:sig w:usb0="800000AF" w:usb1="4000207B" w:usb2="00000000" w:usb3="00000000" w:csb0="00000001" w:csb1="00000000"/>
  </w:font>
  <w:font w:name="DINOT-Bold">
    <w:altName w:val="Arial Black"/>
    <w:panose1 w:val="020B0604020202020204"/>
    <w:charset w:val="00"/>
    <w:family w:val="swiss"/>
    <w:notTrueType/>
    <w:pitch w:val="variable"/>
    <w:sig w:usb0="800000AF" w:usb1="4000207B" w:usb2="00000000" w:usb3="00000000" w:csb0="00000001"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80751" w14:textId="77777777" w:rsidR="00EB2D4E" w:rsidRDefault="00EB2D4E">
    <w:pPr>
      <w:pStyle w:val="Footer"/>
    </w:pPr>
    <w:r>
      <w:drawing>
        <wp:inline distT="0" distB="0" distL="0" distR="0" wp14:anchorId="12E4028D" wp14:editId="5042A088">
          <wp:extent cx="6629400" cy="66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lberts endorsement - PNG RED.png"/>
                  <pic:cNvPicPr/>
                </pic:nvPicPr>
                <pic:blipFill>
                  <a:blip r:embed="rId1">
                    <a:extLst>
                      <a:ext uri="{28A0092B-C50C-407E-A947-70E740481C1C}">
                        <a14:useLocalDpi xmlns:a14="http://schemas.microsoft.com/office/drawing/2010/main" val="0"/>
                      </a:ext>
                    </a:extLst>
                  </a:blip>
                  <a:stretch>
                    <a:fillRect/>
                  </a:stretch>
                </pic:blipFill>
                <pic:spPr>
                  <a:xfrm>
                    <a:off x="0" y="0"/>
                    <a:ext cx="6629400" cy="660400"/>
                  </a:xfrm>
                  <a:prstGeom prst="rect">
                    <a:avLst/>
                  </a:prstGeom>
                </pic:spPr>
              </pic:pic>
            </a:graphicData>
          </a:graphic>
        </wp:inline>
      </w:drawing>
    </w: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263"/>
      <w:gridCol w:w="309"/>
      <w:gridCol w:w="1178"/>
      <w:gridCol w:w="263"/>
      <w:gridCol w:w="5829"/>
    </w:tblGrid>
    <w:tr w:rsidR="004C11D1" w:rsidRPr="00EB2D4E" w14:paraId="50567D7E" w14:textId="77777777" w:rsidTr="00C100E7">
      <w:tc>
        <w:tcPr>
          <w:tcW w:w="2598" w:type="dxa"/>
          <w:tcMar>
            <w:left w:w="0" w:type="dxa"/>
            <w:right w:w="115" w:type="dxa"/>
          </w:tcMar>
        </w:tcPr>
        <w:p w14:paraId="6B7DAEB3" w14:textId="77777777" w:rsidR="00EB2D4E" w:rsidRPr="004C11D1" w:rsidRDefault="00EB2D4E">
          <w:pPr>
            <w:pStyle w:val="Footer"/>
            <w:rPr>
              <w:rFonts w:ascii="Source Sans Pro" w:hAnsi="Source Sans Pro"/>
              <w:b/>
              <w:sz w:val="16"/>
            </w:rPr>
          </w:pPr>
          <w:r w:rsidRPr="004C11D1">
            <w:rPr>
              <w:rFonts w:ascii="Source Sans Pro" w:hAnsi="Source Sans Pro"/>
              <w:b/>
              <w:sz w:val="16"/>
            </w:rPr>
            <w:t>Nexus Valve, Inc</w:t>
          </w:r>
          <w:r w:rsidR="00AE4AD0">
            <w:rPr>
              <w:rFonts w:ascii="Source Sans Pro" w:hAnsi="Source Sans Pro"/>
              <w:b/>
              <w:sz w:val="16"/>
            </w:rPr>
            <w:t>.</w:t>
          </w:r>
        </w:p>
      </w:tc>
      <w:tc>
        <w:tcPr>
          <w:tcW w:w="263" w:type="dxa"/>
          <w:tcMar>
            <w:left w:w="0" w:type="dxa"/>
            <w:right w:w="115" w:type="dxa"/>
          </w:tcMar>
        </w:tcPr>
        <w:p w14:paraId="4FA40808" w14:textId="77777777" w:rsidR="00EB2D4E" w:rsidRPr="004C11D1" w:rsidRDefault="00EB2D4E">
          <w:pPr>
            <w:pStyle w:val="Footer"/>
            <w:rPr>
              <w:rFonts w:ascii="Source Sans Pro" w:hAnsi="Source Sans Pro"/>
              <w:sz w:val="16"/>
            </w:rPr>
          </w:pPr>
        </w:p>
      </w:tc>
      <w:tc>
        <w:tcPr>
          <w:tcW w:w="309" w:type="dxa"/>
          <w:tcMar>
            <w:left w:w="0" w:type="dxa"/>
            <w:right w:w="115" w:type="dxa"/>
          </w:tcMar>
        </w:tcPr>
        <w:p w14:paraId="62D4F03F" w14:textId="77777777" w:rsidR="00EB2D4E" w:rsidRPr="004C11D1" w:rsidRDefault="00EB2D4E" w:rsidP="004C11D1">
          <w:pPr>
            <w:pStyle w:val="Footer"/>
            <w:jc w:val="right"/>
            <w:rPr>
              <w:rFonts w:ascii="Source Sans Pro" w:hAnsi="Source Sans Pro"/>
              <w:b/>
              <w:sz w:val="16"/>
            </w:rPr>
          </w:pPr>
          <w:r w:rsidRPr="004C11D1">
            <w:rPr>
              <w:rFonts w:ascii="Source Sans Pro" w:hAnsi="Source Sans Pro"/>
              <w:b/>
              <w:sz w:val="16"/>
            </w:rPr>
            <w:t>P</w:t>
          </w:r>
        </w:p>
      </w:tc>
      <w:tc>
        <w:tcPr>
          <w:tcW w:w="1178" w:type="dxa"/>
          <w:tcMar>
            <w:left w:w="0" w:type="dxa"/>
            <w:right w:w="115" w:type="dxa"/>
          </w:tcMar>
        </w:tcPr>
        <w:p w14:paraId="1E119CD2" w14:textId="77777777" w:rsidR="00EB2D4E" w:rsidRPr="004C11D1" w:rsidRDefault="00EB2D4E">
          <w:pPr>
            <w:pStyle w:val="Footer"/>
            <w:rPr>
              <w:rFonts w:ascii="Source Sans Pro" w:hAnsi="Source Sans Pro"/>
              <w:sz w:val="16"/>
            </w:rPr>
          </w:pPr>
          <w:r w:rsidRPr="004C11D1">
            <w:rPr>
              <w:rFonts w:ascii="Source Sans Pro" w:hAnsi="Source Sans Pro"/>
              <w:sz w:val="16"/>
            </w:rPr>
            <w:t>(317) 257-6050</w:t>
          </w:r>
        </w:p>
      </w:tc>
      <w:tc>
        <w:tcPr>
          <w:tcW w:w="263" w:type="dxa"/>
          <w:tcMar>
            <w:left w:w="0" w:type="dxa"/>
            <w:right w:w="115" w:type="dxa"/>
          </w:tcMar>
        </w:tcPr>
        <w:p w14:paraId="24B9E867" w14:textId="77777777" w:rsidR="00EB2D4E" w:rsidRPr="004C11D1" w:rsidRDefault="00EB2D4E">
          <w:pPr>
            <w:pStyle w:val="Footer"/>
            <w:rPr>
              <w:rFonts w:ascii="Source Sans Pro" w:hAnsi="Source Sans Pro"/>
              <w:sz w:val="16"/>
            </w:rPr>
          </w:pPr>
        </w:p>
      </w:tc>
      <w:tc>
        <w:tcPr>
          <w:tcW w:w="5829" w:type="dxa"/>
          <w:tcMar>
            <w:left w:w="0" w:type="dxa"/>
            <w:right w:w="115" w:type="dxa"/>
          </w:tcMar>
        </w:tcPr>
        <w:p w14:paraId="0B156F2B" w14:textId="77777777" w:rsidR="00EB2D4E" w:rsidRPr="004C11D1" w:rsidRDefault="00EB2D4E">
          <w:pPr>
            <w:pStyle w:val="Footer"/>
            <w:rPr>
              <w:rFonts w:ascii="Source Sans Pro" w:hAnsi="Source Sans Pro"/>
              <w:sz w:val="16"/>
            </w:rPr>
          </w:pPr>
          <w:r w:rsidRPr="004C11D1">
            <w:rPr>
              <w:rFonts w:ascii="Source Sans Pro" w:hAnsi="Source Sans Pro"/>
              <w:sz w:val="16"/>
            </w:rPr>
            <w:t>info@nexusvalve.com</w:t>
          </w:r>
        </w:p>
      </w:tc>
    </w:tr>
    <w:tr w:rsidR="004C11D1" w:rsidRPr="00EB2D4E" w14:paraId="4A0060EB" w14:textId="77777777" w:rsidTr="00C100E7">
      <w:tc>
        <w:tcPr>
          <w:tcW w:w="2598" w:type="dxa"/>
          <w:tcMar>
            <w:left w:w="0" w:type="dxa"/>
            <w:right w:w="115" w:type="dxa"/>
          </w:tcMar>
        </w:tcPr>
        <w:p w14:paraId="21191F72" w14:textId="77777777" w:rsidR="00EB2D4E" w:rsidRPr="004C11D1" w:rsidRDefault="00EB2D4E">
          <w:pPr>
            <w:pStyle w:val="Footer"/>
            <w:rPr>
              <w:rFonts w:ascii="Source Sans Pro" w:hAnsi="Source Sans Pro"/>
              <w:sz w:val="16"/>
            </w:rPr>
          </w:pPr>
          <w:r w:rsidRPr="004C11D1">
            <w:rPr>
              <w:rFonts w:ascii="Source Sans Pro" w:hAnsi="Source Sans Pro"/>
              <w:sz w:val="16"/>
            </w:rPr>
            <w:t>9982 E. 121</w:t>
          </w:r>
          <w:r w:rsidRPr="004C11D1">
            <w:rPr>
              <w:rFonts w:ascii="Source Sans Pro" w:hAnsi="Source Sans Pro"/>
              <w:sz w:val="16"/>
              <w:vertAlign w:val="superscript"/>
            </w:rPr>
            <w:t>st</w:t>
          </w:r>
          <w:r w:rsidRPr="004C11D1">
            <w:rPr>
              <w:rFonts w:ascii="Source Sans Pro" w:hAnsi="Source Sans Pro"/>
              <w:sz w:val="16"/>
            </w:rPr>
            <w:t xml:space="preserve"> Street  Fishers, IN 46037</w:t>
          </w:r>
        </w:p>
      </w:tc>
      <w:tc>
        <w:tcPr>
          <w:tcW w:w="263" w:type="dxa"/>
          <w:tcMar>
            <w:left w:w="0" w:type="dxa"/>
            <w:right w:w="115" w:type="dxa"/>
          </w:tcMar>
        </w:tcPr>
        <w:p w14:paraId="5BD815A1" w14:textId="77777777" w:rsidR="00EB2D4E" w:rsidRPr="004C11D1" w:rsidRDefault="00EB2D4E">
          <w:pPr>
            <w:pStyle w:val="Footer"/>
            <w:rPr>
              <w:rFonts w:ascii="Source Sans Pro" w:hAnsi="Source Sans Pro"/>
              <w:sz w:val="16"/>
            </w:rPr>
          </w:pPr>
        </w:p>
      </w:tc>
      <w:tc>
        <w:tcPr>
          <w:tcW w:w="309" w:type="dxa"/>
          <w:tcMar>
            <w:left w:w="0" w:type="dxa"/>
            <w:right w:w="115" w:type="dxa"/>
          </w:tcMar>
        </w:tcPr>
        <w:p w14:paraId="0BC2AAB1" w14:textId="77777777" w:rsidR="00EB2D4E" w:rsidRPr="004C11D1" w:rsidRDefault="00EB2D4E" w:rsidP="004C11D1">
          <w:pPr>
            <w:pStyle w:val="Footer"/>
            <w:jc w:val="right"/>
            <w:rPr>
              <w:rFonts w:ascii="Source Sans Pro" w:hAnsi="Source Sans Pro"/>
              <w:b/>
              <w:sz w:val="16"/>
            </w:rPr>
          </w:pPr>
          <w:r w:rsidRPr="004C11D1">
            <w:rPr>
              <w:rFonts w:ascii="Source Sans Pro" w:hAnsi="Source Sans Pro"/>
              <w:b/>
              <w:sz w:val="16"/>
            </w:rPr>
            <w:t>F</w:t>
          </w:r>
        </w:p>
      </w:tc>
      <w:tc>
        <w:tcPr>
          <w:tcW w:w="1178" w:type="dxa"/>
          <w:tcMar>
            <w:left w:w="0" w:type="dxa"/>
            <w:right w:w="115" w:type="dxa"/>
          </w:tcMar>
        </w:tcPr>
        <w:p w14:paraId="461AFCAD" w14:textId="77777777" w:rsidR="00EB2D4E" w:rsidRPr="004C11D1" w:rsidRDefault="00EB2D4E">
          <w:pPr>
            <w:pStyle w:val="Footer"/>
            <w:rPr>
              <w:rFonts w:ascii="Source Sans Pro" w:hAnsi="Source Sans Pro"/>
              <w:sz w:val="16"/>
            </w:rPr>
          </w:pPr>
          <w:r w:rsidRPr="004C11D1">
            <w:rPr>
              <w:rFonts w:ascii="Source Sans Pro" w:hAnsi="Source Sans Pro"/>
              <w:sz w:val="16"/>
            </w:rPr>
            <w:t>(317) 284-0339</w:t>
          </w:r>
        </w:p>
      </w:tc>
      <w:tc>
        <w:tcPr>
          <w:tcW w:w="263" w:type="dxa"/>
          <w:tcMar>
            <w:left w:w="0" w:type="dxa"/>
            <w:right w:w="115" w:type="dxa"/>
          </w:tcMar>
        </w:tcPr>
        <w:p w14:paraId="145C516A" w14:textId="77777777" w:rsidR="00EB2D4E" w:rsidRPr="004C11D1" w:rsidRDefault="00EB2D4E">
          <w:pPr>
            <w:pStyle w:val="Footer"/>
            <w:rPr>
              <w:rFonts w:ascii="Source Sans Pro" w:hAnsi="Source Sans Pro"/>
              <w:sz w:val="16"/>
            </w:rPr>
          </w:pPr>
        </w:p>
      </w:tc>
      <w:tc>
        <w:tcPr>
          <w:tcW w:w="5829" w:type="dxa"/>
          <w:tcMar>
            <w:left w:w="0" w:type="dxa"/>
            <w:right w:w="115" w:type="dxa"/>
          </w:tcMar>
        </w:tcPr>
        <w:p w14:paraId="34AC1DCF" w14:textId="77777777" w:rsidR="00EB2D4E" w:rsidRPr="004C11D1" w:rsidRDefault="00EB2D4E">
          <w:pPr>
            <w:pStyle w:val="Footer"/>
            <w:rPr>
              <w:rFonts w:ascii="Source Sans Pro" w:hAnsi="Source Sans Pro"/>
              <w:sz w:val="16"/>
            </w:rPr>
          </w:pPr>
          <w:r w:rsidRPr="004C11D1">
            <w:rPr>
              <w:rFonts w:ascii="Source Sans Pro" w:hAnsi="Source Sans Pro"/>
              <w:sz w:val="16"/>
            </w:rPr>
            <w:t>www.nexusvalve.com</w:t>
          </w:r>
        </w:p>
      </w:tc>
    </w:tr>
  </w:tbl>
  <w:p w14:paraId="0B930598" w14:textId="77777777" w:rsidR="00EB2D4E" w:rsidRDefault="00EB2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D9AA9" w14:textId="77777777" w:rsidR="0003020D" w:rsidRDefault="0003020D" w:rsidP="00EB2D4E">
      <w:r>
        <w:separator/>
      </w:r>
    </w:p>
  </w:footnote>
  <w:footnote w:type="continuationSeparator" w:id="0">
    <w:p w14:paraId="43EA9D93" w14:textId="77777777" w:rsidR="0003020D" w:rsidRDefault="0003020D" w:rsidP="00EB2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BD9EE" w14:textId="77777777" w:rsidR="00EB2D4E" w:rsidRDefault="00977643" w:rsidP="00977643">
    <w:pPr>
      <w:pStyle w:val="Header"/>
    </w:pPr>
    <w:r>
      <w:drawing>
        <wp:inline distT="0" distB="0" distL="0" distR="0" wp14:anchorId="351558CF" wp14:editId="0EFCCA27">
          <wp:extent cx="1403287" cy="597371"/>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1837" cy="630809"/>
                  </a:xfrm>
                  <a:prstGeom prst="rect">
                    <a:avLst/>
                  </a:prstGeom>
                </pic:spPr>
              </pic:pic>
            </a:graphicData>
          </a:graphic>
        </wp:inline>
      </w:drawing>
    </w:r>
    <w:r>
      <w:tab/>
    </w:r>
    <w:r>
      <w:tab/>
      <w:t xml:space="preserve">   SPECIFICATION</w:t>
    </w:r>
  </w:p>
  <w:p w14:paraId="3C24497E" w14:textId="1438ACC4" w:rsidR="00977643" w:rsidRDefault="00977643" w:rsidP="00977643">
    <w:pPr>
      <w:pStyle w:val="Header"/>
      <w:jc w:val="center"/>
    </w:pPr>
    <w:r>
      <w:t xml:space="preserve">     </w:t>
    </w:r>
    <w:r>
      <w:tab/>
      <w:t xml:space="preserve">                                           </w:t>
    </w:r>
    <w:r w:rsidR="00087848">
      <w:t xml:space="preserve">        PRESSURE INDEPENDENT CONTROL VALVE</w:t>
    </w:r>
  </w:p>
  <w:p w14:paraId="57242BEE" w14:textId="77777777" w:rsidR="00977643" w:rsidRDefault="00977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0604E"/>
    <w:multiLevelType w:val="hybridMultilevel"/>
    <w:tmpl w:val="95BA95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692A5B"/>
    <w:multiLevelType w:val="hybridMultilevel"/>
    <w:tmpl w:val="86BC6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51D62"/>
    <w:multiLevelType w:val="hybridMultilevel"/>
    <w:tmpl w:val="E23A4D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2C1E56"/>
    <w:multiLevelType w:val="hybridMultilevel"/>
    <w:tmpl w:val="BA1AF3C8"/>
    <w:lvl w:ilvl="0" w:tplc="0409000F">
      <w:start w:val="1"/>
      <w:numFmt w:val="decimal"/>
      <w:lvlText w:val="%1."/>
      <w:lvlJc w:val="left"/>
      <w:pPr>
        <w:ind w:left="720" w:hanging="360"/>
      </w:pPr>
      <w:rPr>
        <w:rFonts w:eastAsia="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143C48"/>
    <w:multiLevelType w:val="hybridMultilevel"/>
    <w:tmpl w:val="7D50C6E4"/>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F71DDC"/>
    <w:multiLevelType w:val="hybridMultilevel"/>
    <w:tmpl w:val="6C4294B2"/>
    <w:lvl w:ilvl="0" w:tplc="02BE6B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EE7A68"/>
    <w:multiLevelType w:val="hybridMultilevel"/>
    <w:tmpl w:val="FB209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43"/>
    <w:rsid w:val="0003020D"/>
    <w:rsid w:val="00087848"/>
    <w:rsid w:val="00167E2E"/>
    <w:rsid w:val="0024173E"/>
    <w:rsid w:val="002B5B8B"/>
    <w:rsid w:val="002D1862"/>
    <w:rsid w:val="002F051B"/>
    <w:rsid w:val="003265D1"/>
    <w:rsid w:val="00340304"/>
    <w:rsid w:val="00434CC0"/>
    <w:rsid w:val="004C11D1"/>
    <w:rsid w:val="004C3FFF"/>
    <w:rsid w:val="00804046"/>
    <w:rsid w:val="008318F5"/>
    <w:rsid w:val="00836754"/>
    <w:rsid w:val="00977643"/>
    <w:rsid w:val="009C7F05"/>
    <w:rsid w:val="00AE4AD0"/>
    <w:rsid w:val="00B51C7A"/>
    <w:rsid w:val="00B65BD7"/>
    <w:rsid w:val="00B97260"/>
    <w:rsid w:val="00C100E7"/>
    <w:rsid w:val="00CA2CFD"/>
    <w:rsid w:val="00D339F4"/>
    <w:rsid w:val="00D47056"/>
    <w:rsid w:val="00EB2D4E"/>
    <w:rsid w:val="00EF7CFC"/>
    <w:rsid w:val="00F44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3064"/>
  <w14:defaultImageDpi w14:val="32767"/>
  <w15:chartTrackingRefBased/>
  <w15:docId w15:val="{344779FE-82E9-644F-B26A-D1D67B51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7643"/>
    <w:rPr>
      <w:rFonts w:ascii="DINOT-Medium" w:eastAsiaTheme="minorEastAsia" w:hAnsi="DINOT-Medium" w:cs="Times New Roman"/>
      <w:noProof/>
      <w:sz w:val="22"/>
    </w:rPr>
  </w:style>
  <w:style w:type="paragraph" w:styleId="Heading1">
    <w:name w:val="heading 1"/>
    <w:basedOn w:val="Normal"/>
    <w:next w:val="Normal"/>
    <w:link w:val="Heading1Char"/>
    <w:uiPriority w:val="9"/>
    <w:qFormat/>
    <w:rsid w:val="00977643"/>
    <w:pPr>
      <w:keepNext/>
      <w:keepLines/>
      <w:spacing w:before="480"/>
      <w:outlineLvl w:val="0"/>
    </w:pPr>
    <w:rPr>
      <w:rFonts w:ascii="DINOT-Bold" w:eastAsiaTheme="majorEastAsia" w:hAnsi="DINOT-Bold"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ular">
    <w:name w:val="Regular"/>
    <w:basedOn w:val="Normal"/>
    <w:next w:val="BodyText"/>
    <w:autoRedefine/>
    <w:qFormat/>
    <w:rsid w:val="009C7F05"/>
    <w:rPr>
      <w:rFonts w:ascii="Source Sans Pro" w:hAnsi="Source Sans Pro"/>
      <w:sz w:val="20"/>
    </w:rPr>
  </w:style>
  <w:style w:type="paragraph" w:styleId="BodyText">
    <w:name w:val="Body Text"/>
    <w:basedOn w:val="Normal"/>
    <w:link w:val="BodyTextChar"/>
    <w:uiPriority w:val="99"/>
    <w:semiHidden/>
    <w:unhideWhenUsed/>
    <w:rsid w:val="009C7F05"/>
    <w:pPr>
      <w:spacing w:after="120"/>
    </w:pPr>
  </w:style>
  <w:style w:type="character" w:customStyle="1" w:styleId="BodyTextChar">
    <w:name w:val="Body Text Char"/>
    <w:basedOn w:val="DefaultParagraphFont"/>
    <w:link w:val="BodyText"/>
    <w:uiPriority w:val="99"/>
    <w:semiHidden/>
    <w:rsid w:val="009C7F05"/>
  </w:style>
  <w:style w:type="paragraph" w:customStyle="1" w:styleId="RegularText">
    <w:name w:val="Regular Text"/>
    <w:basedOn w:val="Normal"/>
    <w:next w:val="BodyText"/>
    <w:autoRedefine/>
    <w:qFormat/>
    <w:rsid w:val="009C7F05"/>
    <w:rPr>
      <w:rFonts w:ascii="Source Sans Pro" w:hAnsi="Source Sans Pro"/>
      <w:sz w:val="20"/>
    </w:rPr>
  </w:style>
  <w:style w:type="paragraph" w:styleId="Header">
    <w:name w:val="header"/>
    <w:basedOn w:val="Normal"/>
    <w:link w:val="HeaderChar"/>
    <w:uiPriority w:val="99"/>
    <w:unhideWhenUsed/>
    <w:rsid w:val="00EB2D4E"/>
    <w:pPr>
      <w:tabs>
        <w:tab w:val="center" w:pos="4680"/>
        <w:tab w:val="right" w:pos="9360"/>
      </w:tabs>
    </w:pPr>
  </w:style>
  <w:style w:type="character" w:customStyle="1" w:styleId="HeaderChar">
    <w:name w:val="Header Char"/>
    <w:basedOn w:val="DefaultParagraphFont"/>
    <w:link w:val="Header"/>
    <w:uiPriority w:val="99"/>
    <w:rsid w:val="00EB2D4E"/>
  </w:style>
  <w:style w:type="paragraph" w:styleId="Footer">
    <w:name w:val="footer"/>
    <w:basedOn w:val="Normal"/>
    <w:link w:val="FooterChar"/>
    <w:uiPriority w:val="99"/>
    <w:unhideWhenUsed/>
    <w:rsid w:val="00EB2D4E"/>
    <w:pPr>
      <w:tabs>
        <w:tab w:val="center" w:pos="4680"/>
        <w:tab w:val="right" w:pos="9360"/>
      </w:tabs>
    </w:pPr>
  </w:style>
  <w:style w:type="character" w:customStyle="1" w:styleId="FooterChar">
    <w:name w:val="Footer Char"/>
    <w:basedOn w:val="DefaultParagraphFont"/>
    <w:link w:val="Footer"/>
    <w:uiPriority w:val="99"/>
    <w:rsid w:val="00EB2D4E"/>
  </w:style>
  <w:style w:type="table" w:styleId="TableGrid">
    <w:name w:val="Table Grid"/>
    <w:basedOn w:val="TableNormal"/>
    <w:uiPriority w:val="39"/>
    <w:rsid w:val="00EB2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11D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C11D1"/>
    <w:rPr>
      <w:rFonts w:ascii="Times New Roman" w:hAnsi="Times New Roman" w:cs="Times New Roman"/>
      <w:sz w:val="18"/>
      <w:szCs w:val="18"/>
    </w:rPr>
  </w:style>
  <w:style w:type="table" w:customStyle="1" w:styleId="TableGrid1">
    <w:name w:val="Table Grid1"/>
    <w:basedOn w:val="TableNormal"/>
    <w:next w:val="TableGrid"/>
    <w:uiPriority w:val="39"/>
    <w:rsid w:val="00C100E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7643"/>
    <w:rPr>
      <w:rFonts w:ascii="DINOT-Bold" w:eastAsiaTheme="majorEastAsia" w:hAnsi="DINOT-Bold" w:cstheme="majorBidi"/>
      <w:b/>
      <w:bCs/>
      <w:noProof/>
      <w:sz w:val="22"/>
      <w:szCs w:val="28"/>
    </w:rPr>
  </w:style>
  <w:style w:type="paragraph" w:styleId="ListParagraph">
    <w:name w:val="List Paragraph"/>
    <w:basedOn w:val="Normal"/>
    <w:uiPriority w:val="34"/>
    <w:qFormat/>
    <w:rsid w:val="00977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My%20Passport/NEXUS%20ASSETS/Nexus%20Docs/OTHER/Nexus_LetterHead_0618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Nexus_LetterHead_061819.dotx</Template>
  <TotalTime>1</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Nexus Valve, Inc.</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Jasmine Stephens</cp:lastModifiedBy>
  <cp:revision>2</cp:revision>
  <cp:lastPrinted>2018-06-21T20:36:00Z</cp:lastPrinted>
  <dcterms:created xsi:type="dcterms:W3CDTF">2020-11-17T16:11:00Z</dcterms:created>
  <dcterms:modified xsi:type="dcterms:W3CDTF">2020-11-17T16:11:00Z</dcterms:modified>
</cp:coreProperties>
</file>