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DC6E2" w14:textId="77777777" w:rsidR="00D339F4" w:rsidRDefault="00D339F4" w:rsidP="00977643">
      <w:pPr>
        <w:jc w:val="right"/>
        <w:rPr>
          <w:rFonts w:ascii="Source Sans Pro" w:hAnsi="Source Sans Pro"/>
          <w:sz w:val="21"/>
        </w:rPr>
      </w:pPr>
    </w:p>
    <w:p w14:paraId="518C9D78" w14:textId="747CB898" w:rsidR="001125C2" w:rsidRDefault="00977643" w:rsidP="0006480B">
      <w:pPr>
        <w:rPr>
          <w:rFonts w:ascii="Source Sans Pro" w:hAnsi="Source Sans Pro"/>
          <w:sz w:val="21"/>
        </w:rPr>
      </w:pPr>
      <w:r>
        <w:rPr>
          <w:rFonts w:ascii="Source Sans Pro" w:hAnsi="Source Sans Pro"/>
          <w:sz w:val="21"/>
        </w:rPr>
        <w:tab/>
      </w:r>
      <w:r>
        <w:rPr>
          <w:rFonts w:ascii="Source Sans Pro" w:hAnsi="Source Sans Pro"/>
          <w:sz w:val="21"/>
        </w:rPr>
        <w:tab/>
      </w:r>
      <w:r>
        <w:rPr>
          <w:rFonts w:ascii="Source Sans Pro" w:hAnsi="Source Sans Pro"/>
          <w:sz w:val="21"/>
        </w:rPr>
        <w:tab/>
      </w:r>
      <w:r>
        <w:rPr>
          <w:rFonts w:ascii="Source Sans Pro" w:hAnsi="Source Sans Pro"/>
          <w:sz w:val="21"/>
        </w:rPr>
        <w:tab/>
      </w:r>
      <w:r>
        <w:rPr>
          <w:rFonts w:ascii="Source Sans Pro" w:hAnsi="Source Sans Pro"/>
          <w:sz w:val="21"/>
        </w:rPr>
        <w:tab/>
      </w:r>
      <w:r>
        <w:rPr>
          <w:rFonts w:ascii="Source Sans Pro" w:hAnsi="Source Sans Pro"/>
          <w:sz w:val="21"/>
        </w:rPr>
        <w:tab/>
      </w:r>
      <w:r>
        <w:rPr>
          <w:rFonts w:ascii="Source Sans Pro" w:hAnsi="Source Sans Pro"/>
          <w:sz w:val="21"/>
        </w:rPr>
        <w:tab/>
      </w:r>
      <w:r>
        <w:rPr>
          <w:rFonts w:ascii="Source Sans Pro" w:hAnsi="Source Sans Pro"/>
          <w:sz w:val="21"/>
        </w:rPr>
        <w:tab/>
      </w:r>
      <w:r>
        <w:rPr>
          <w:rFonts w:ascii="Source Sans Pro" w:hAnsi="Source Sans Pro"/>
          <w:sz w:val="21"/>
        </w:rPr>
        <w:tab/>
        <w:t xml:space="preserve">        </w:t>
      </w:r>
      <w:r w:rsidR="00087848">
        <w:rPr>
          <w:rFonts w:ascii="Source Sans Pro" w:hAnsi="Source Sans Pro"/>
          <w:sz w:val="21"/>
        </w:rPr>
        <w:t xml:space="preserve"> </w:t>
      </w:r>
      <w:r w:rsidR="0006480B">
        <w:rPr>
          <w:rFonts w:ascii="Source Sans Pro" w:hAnsi="Source Sans Pro"/>
          <w:sz w:val="21"/>
        </w:rPr>
        <w:t xml:space="preserve"> </w:t>
      </w:r>
      <w:r>
        <w:rPr>
          <w:rFonts w:ascii="Source Sans Pro" w:hAnsi="Source Sans Pro"/>
          <w:sz w:val="21"/>
        </w:rPr>
        <w:t xml:space="preserve">Document: </w:t>
      </w:r>
      <w:r w:rsidR="0006480B">
        <w:rPr>
          <w:rFonts w:ascii="Source Sans Pro" w:hAnsi="Source Sans Pro"/>
          <w:sz w:val="21"/>
        </w:rPr>
        <w:t>UBK07011401-5</w:t>
      </w:r>
    </w:p>
    <w:p w14:paraId="53F6FE3A" w14:textId="77777777" w:rsidR="00977643" w:rsidRDefault="00977643">
      <w:pPr>
        <w:jc w:val="both"/>
        <w:rPr>
          <w:rFonts w:ascii="Source Sans Pro" w:hAnsi="Source Sans Pro"/>
          <w:sz w:val="21"/>
        </w:rPr>
      </w:pPr>
      <w:r>
        <w:rPr>
          <w:rFonts w:ascii="Source Sans Pro" w:hAnsi="Source Sans Pro"/>
          <w:sz w:val="21"/>
        </w:rPr>
        <w:tab/>
      </w:r>
      <w:r>
        <w:rPr>
          <w:rFonts w:ascii="Source Sans Pro" w:hAnsi="Source Sans Pro"/>
          <w:sz w:val="21"/>
        </w:rPr>
        <w:tab/>
      </w:r>
      <w:r>
        <w:rPr>
          <w:rFonts w:ascii="Source Sans Pro" w:hAnsi="Source Sans Pro"/>
          <w:sz w:val="21"/>
        </w:rPr>
        <w:tab/>
      </w:r>
      <w:r>
        <w:rPr>
          <w:rFonts w:ascii="Source Sans Pro" w:hAnsi="Source Sans Pro"/>
          <w:sz w:val="21"/>
        </w:rPr>
        <w:tab/>
      </w:r>
      <w:r>
        <w:rPr>
          <w:rFonts w:ascii="Source Sans Pro" w:hAnsi="Source Sans Pro"/>
          <w:sz w:val="21"/>
        </w:rPr>
        <w:tab/>
      </w:r>
      <w:r>
        <w:rPr>
          <w:rFonts w:ascii="Source Sans Pro" w:hAnsi="Source Sans Pro"/>
          <w:sz w:val="21"/>
        </w:rPr>
        <w:tab/>
      </w:r>
      <w:r>
        <w:rPr>
          <w:rFonts w:ascii="Source Sans Pro" w:hAnsi="Source Sans Pro"/>
          <w:sz w:val="21"/>
        </w:rPr>
        <w:tab/>
      </w:r>
      <w:r>
        <w:rPr>
          <w:rFonts w:ascii="Source Sans Pro" w:hAnsi="Source Sans Pro"/>
          <w:sz w:val="21"/>
        </w:rPr>
        <w:tab/>
        <w:t xml:space="preserve">              Effective Date: December 12, 2018</w:t>
      </w:r>
    </w:p>
    <w:p w14:paraId="79ACA669" w14:textId="77777777" w:rsidR="00087848" w:rsidRDefault="00087848" w:rsidP="00087848">
      <w:pPr>
        <w:overflowPunct w:val="0"/>
        <w:autoSpaceDE w:val="0"/>
        <w:autoSpaceDN w:val="0"/>
        <w:adjustRightInd w:val="0"/>
        <w:textAlignment w:val="baseline"/>
        <w:rPr>
          <w:rFonts w:ascii="Source Sans Pro" w:hAnsi="Source Sans Pro"/>
          <w:sz w:val="21"/>
        </w:rPr>
      </w:pPr>
    </w:p>
    <w:p w14:paraId="4A1A79D9" w14:textId="77777777" w:rsidR="00953203" w:rsidRPr="004A6A0D" w:rsidRDefault="00953203" w:rsidP="00953203">
      <w:pPr>
        <w:pStyle w:val="Heading1"/>
        <w:rPr>
          <w:rFonts w:ascii="DINOT-Medium" w:hAnsi="DINOT-Medium"/>
          <w:szCs w:val="22"/>
        </w:rPr>
      </w:pPr>
      <w:bookmarkStart w:id="0" w:name="_Hlk532373589"/>
      <w:r w:rsidRPr="004A6A0D">
        <w:rPr>
          <w:rFonts w:ascii="DINOT-Medium" w:hAnsi="DINOT-Medium"/>
          <w:szCs w:val="22"/>
        </w:rPr>
        <w:t>Instructions:</w:t>
      </w:r>
    </w:p>
    <w:bookmarkEnd w:id="0"/>
    <w:p w14:paraId="1BA13862" w14:textId="77777777" w:rsidR="001125C2" w:rsidRPr="004A6A0D" w:rsidRDefault="001125C2" w:rsidP="001125C2">
      <w:pPr>
        <w:rPr>
          <w:szCs w:val="22"/>
        </w:rPr>
      </w:pPr>
      <w:r w:rsidRPr="004A6A0D">
        <w:rPr>
          <w:szCs w:val="22"/>
        </w:rPr>
        <w:t>Insert these specifications in section 23 21 13 – Hydronic Piping where applicable.  Additionally, request a CAD detail from your Nexus Valve representative for your</w:t>
      </w:r>
      <w:r>
        <w:rPr>
          <w:szCs w:val="22"/>
        </w:rPr>
        <w:t xml:space="preserve"> bypass &amp; flush kit </w:t>
      </w:r>
      <w:r w:rsidRPr="004A6A0D">
        <w:rPr>
          <w:szCs w:val="22"/>
        </w:rPr>
        <w:t xml:space="preserve"> piping detail.</w:t>
      </w:r>
    </w:p>
    <w:p w14:paraId="12FCC293" w14:textId="77777777" w:rsidR="001125C2" w:rsidRPr="00DD4BCA" w:rsidRDefault="001125C2" w:rsidP="001125C2">
      <w:pPr>
        <w:rPr>
          <w:sz w:val="18"/>
          <w:szCs w:val="18"/>
        </w:rPr>
      </w:pPr>
    </w:p>
    <w:p w14:paraId="05C13302" w14:textId="77777777" w:rsidR="001125C2" w:rsidRPr="004A6A0D" w:rsidRDefault="001125C2" w:rsidP="001125C2">
      <w:pPr>
        <w:rPr>
          <w:b/>
          <w:szCs w:val="22"/>
        </w:rPr>
      </w:pPr>
      <w:r w:rsidRPr="004A6A0D">
        <w:rPr>
          <w:b/>
          <w:szCs w:val="22"/>
        </w:rPr>
        <w:t>General:</w:t>
      </w:r>
    </w:p>
    <w:p w14:paraId="5FCE90A4" w14:textId="77777777" w:rsidR="001125C2" w:rsidRDefault="001125C2" w:rsidP="001125C2">
      <w:pPr>
        <w:rPr>
          <w:szCs w:val="22"/>
        </w:rPr>
      </w:pPr>
      <w:r w:rsidRPr="004A6A0D">
        <w:rPr>
          <w:szCs w:val="22"/>
        </w:rPr>
        <w:t xml:space="preserve">Contractor shall provide and install </w:t>
      </w:r>
      <w:r>
        <w:rPr>
          <w:szCs w:val="22"/>
        </w:rPr>
        <w:t>bypass &amp; flush kits</w:t>
      </w:r>
      <w:r w:rsidRPr="004A6A0D">
        <w:rPr>
          <w:szCs w:val="22"/>
        </w:rPr>
        <w:t xml:space="preserve"> at all locations as specified in the construction documents.</w:t>
      </w:r>
    </w:p>
    <w:p w14:paraId="128FD745" w14:textId="77777777" w:rsidR="001125C2" w:rsidRPr="00DD4BCA" w:rsidRDefault="001125C2" w:rsidP="001125C2">
      <w:pPr>
        <w:rPr>
          <w:sz w:val="18"/>
          <w:szCs w:val="18"/>
        </w:rPr>
      </w:pPr>
    </w:p>
    <w:p w14:paraId="334236ED" w14:textId="77777777" w:rsidR="001125C2" w:rsidRDefault="001125C2" w:rsidP="001125C2">
      <w:pPr>
        <w:rPr>
          <w:rFonts w:eastAsia="Times New Roman"/>
          <w:b/>
          <w:caps/>
          <w:noProof w:val="0"/>
          <w:szCs w:val="22"/>
        </w:rPr>
      </w:pPr>
      <w:r>
        <w:rPr>
          <w:rFonts w:eastAsia="Times New Roman"/>
          <w:b/>
        </w:rPr>
        <w:t>Bypass &amp; Flush Kit</w:t>
      </w:r>
      <w:r>
        <w:rPr>
          <w:rFonts w:eastAsia="Times New Roman"/>
          <w:b/>
          <w:caps/>
          <w:noProof w:val="0"/>
          <w:szCs w:val="22"/>
        </w:rPr>
        <w:t>:</w:t>
      </w:r>
      <w:r w:rsidRPr="0008514B">
        <w:rPr>
          <w:rFonts w:eastAsia="Times New Roman"/>
          <w:b/>
          <w:caps/>
          <w:noProof w:val="0"/>
          <w:szCs w:val="22"/>
        </w:rPr>
        <w:t xml:space="preserve"> </w:t>
      </w:r>
    </w:p>
    <w:p w14:paraId="0E41F92B" w14:textId="77777777" w:rsidR="001125C2" w:rsidRPr="00DD4BCA" w:rsidRDefault="001125C2" w:rsidP="001125C2">
      <w:pPr>
        <w:overflowPunct w:val="0"/>
        <w:autoSpaceDE w:val="0"/>
        <w:autoSpaceDN w:val="0"/>
        <w:adjustRightInd w:val="0"/>
        <w:textAlignment w:val="baseline"/>
        <w:rPr>
          <w:rFonts w:eastAsia="Times New Roman"/>
          <w:caps/>
          <w:noProof w:val="0"/>
          <w:sz w:val="16"/>
          <w:szCs w:val="16"/>
        </w:rPr>
      </w:pPr>
    </w:p>
    <w:p w14:paraId="14009CA6" w14:textId="77777777" w:rsidR="001125C2" w:rsidRPr="00B13AB4" w:rsidRDefault="001125C2" w:rsidP="001125C2">
      <w:pPr>
        <w:numPr>
          <w:ilvl w:val="0"/>
          <w:numId w:val="8"/>
        </w:numPr>
        <w:overflowPunct w:val="0"/>
        <w:autoSpaceDE w:val="0"/>
        <w:autoSpaceDN w:val="0"/>
        <w:adjustRightInd w:val="0"/>
        <w:textAlignment w:val="baseline"/>
        <w:rPr>
          <w:rFonts w:eastAsia="Times New Roman"/>
          <w:caps/>
          <w:noProof w:val="0"/>
          <w:szCs w:val="22"/>
        </w:rPr>
      </w:pPr>
      <w:r w:rsidRPr="00B13AB4">
        <w:rPr>
          <w:rFonts w:eastAsia="Times New Roman"/>
          <w:noProof w:val="0"/>
          <w:szCs w:val="22"/>
        </w:rPr>
        <w:t>Provide and install</w:t>
      </w:r>
      <w:r>
        <w:rPr>
          <w:rFonts w:eastAsia="Times New Roman"/>
          <w:noProof w:val="0"/>
          <w:szCs w:val="22"/>
        </w:rPr>
        <w:t xml:space="preserve"> permanent</w:t>
      </w:r>
      <w:r w:rsidRPr="00B13AB4">
        <w:rPr>
          <w:rFonts w:eastAsia="Times New Roman"/>
          <w:noProof w:val="0"/>
          <w:szCs w:val="22"/>
        </w:rPr>
        <w:t xml:space="preserve"> </w:t>
      </w:r>
      <w:r>
        <w:rPr>
          <w:rFonts w:eastAsia="Times New Roman"/>
          <w:noProof w:val="0"/>
          <w:szCs w:val="22"/>
        </w:rPr>
        <w:t>b</w:t>
      </w:r>
      <w:r w:rsidRPr="00B13AB4">
        <w:rPr>
          <w:rFonts w:eastAsia="Times New Roman"/>
          <w:noProof w:val="0"/>
          <w:szCs w:val="22"/>
        </w:rPr>
        <w:t>ypass &amp; flush kits to bypass coils, control valves, balancing valves, exchangers and other factory cleaned equipment to prevent debris from being caught or cause damage to equipment which will be connected to the piping system.</w:t>
      </w:r>
      <w:r>
        <w:rPr>
          <w:rFonts w:eastAsia="Times New Roman"/>
          <w:noProof w:val="0"/>
          <w:szCs w:val="22"/>
        </w:rPr>
        <w:t xml:space="preserve">  Temporary bypass piping or the use of flexible hoses for flushing is not acceptable.</w:t>
      </w:r>
    </w:p>
    <w:p w14:paraId="76863E5B" w14:textId="77777777" w:rsidR="001125C2" w:rsidRPr="00DD4BCA" w:rsidRDefault="001125C2" w:rsidP="001125C2">
      <w:pPr>
        <w:ind w:left="720"/>
        <w:rPr>
          <w:rFonts w:eastAsia="Times New Roman"/>
          <w:caps/>
          <w:noProof w:val="0"/>
          <w:sz w:val="16"/>
          <w:szCs w:val="16"/>
        </w:rPr>
      </w:pPr>
    </w:p>
    <w:p w14:paraId="17130FCA" w14:textId="77777777" w:rsidR="001125C2" w:rsidRPr="0076776A" w:rsidRDefault="001125C2" w:rsidP="001125C2">
      <w:pPr>
        <w:numPr>
          <w:ilvl w:val="0"/>
          <w:numId w:val="8"/>
        </w:numPr>
        <w:overflowPunct w:val="0"/>
        <w:autoSpaceDE w:val="0"/>
        <w:autoSpaceDN w:val="0"/>
        <w:adjustRightInd w:val="0"/>
        <w:textAlignment w:val="baseline"/>
        <w:rPr>
          <w:rFonts w:eastAsia="Times New Roman"/>
          <w:caps/>
          <w:noProof w:val="0"/>
          <w:szCs w:val="22"/>
        </w:rPr>
      </w:pPr>
      <w:r w:rsidRPr="00B13AB4">
        <w:rPr>
          <w:rFonts w:eastAsia="Times New Roman"/>
          <w:noProof w:val="0"/>
          <w:szCs w:val="22"/>
        </w:rPr>
        <w:t xml:space="preserve">Bypass &amp; flush kits shall provide for forward or backward flushing without the removal of strainer elements, flow cartridges, pressure regulators or other </w:t>
      </w:r>
      <w:proofErr w:type="spellStart"/>
      <w:r w:rsidRPr="00B13AB4">
        <w:rPr>
          <w:rFonts w:eastAsia="Times New Roman"/>
          <w:noProof w:val="0"/>
          <w:szCs w:val="22"/>
        </w:rPr>
        <w:t>orifi</w:t>
      </w:r>
      <w:proofErr w:type="spellEnd"/>
      <w:r w:rsidRPr="00B13AB4">
        <w:rPr>
          <w:rFonts w:eastAsia="Times New Roman"/>
          <w:noProof w:val="0"/>
          <w:szCs w:val="22"/>
        </w:rPr>
        <w:t xml:space="preserve"> designed to control flow</w:t>
      </w:r>
      <w:r>
        <w:rPr>
          <w:rFonts w:eastAsia="Times New Roman"/>
          <w:noProof w:val="0"/>
          <w:szCs w:val="22"/>
        </w:rPr>
        <w:t xml:space="preserve">.  </w:t>
      </w:r>
    </w:p>
    <w:p w14:paraId="51516D0F" w14:textId="77777777" w:rsidR="001125C2" w:rsidRPr="00DD4BCA" w:rsidRDefault="001125C2" w:rsidP="001125C2">
      <w:pPr>
        <w:overflowPunct w:val="0"/>
        <w:autoSpaceDE w:val="0"/>
        <w:autoSpaceDN w:val="0"/>
        <w:adjustRightInd w:val="0"/>
        <w:ind w:left="720"/>
        <w:textAlignment w:val="baseline"/>
        <w:rPr>
          <w:rFonts w:eastAsia="Times New Roman"/>
          <w:caps/>
          <w:noProof w:val="0"/>
          <w:sz w:val="16"/>
          <w:szCs w:val="16"/>
        </w:rPr>
      </w:pPr>
    </w:p>
    <w:p w14:paraId="3BD1A686" w14:textId="77777777" w:rsidR="001125C2" w:rsidRPr="00B13AB4" w:rsidRDefault="001125C2" w:rsidP="001125C2">
      <w:pPr>
        <w:numPr>
          <w:ilvl w:val="0"/>
          <w:numId w:val="8"/>
        </w:numPr>
        <w:overflowPunct w:val="0"/>
        <w:autoSpaceDE w:val="0"/>
        <w:autoSpaceDN w:val="0"/>
        <w:adjustRightInd w:val="0"/>
        <w:textAlignment w:val="baseline"/>
        <w:rPr>
          <w:rFonts w:eastAsia="Times New Roman"/>
          <w:caps/>
          <w:noProof w:val="0"/>
          <w:szCs w:val="22"/>
        </w:rPr>
      </w:pPr>
      <w:r>
        <w:rPr>
          <w:rFonts w:eastAsia="Times New Roman"/>
          <w:noProof w:val="0"/>
          <w:szCs w:val="22"/>
        </w:rPr>
        <w:t>B</w:t>
      </w:r>
      <w:r w:rsidRPr="00B13AB4">
        <w:rPr>
          <w:rFonts w:eastAsia="Times New Roman"/>
          <w:noProof w:val="0"/>
          <w:szCs w:val="22"/>
        </w:rPr>
        <w:t>ypass &amp; flush kit</w:t>
      </w:r>
      <w:r>
        <w:rPr>
          <w:rFonts w:eastAsia="Times New Roman"/>
          <w:noProof w:val="0"/>
          <w:szCs w:val="22"/>
        </w:rPr>
        <w:t xml:space="preserve"> 2” and smaller shall </w:t>
      </w:r>
      <w:r w:rsidRPr="00B13AB4">
        <w:rPr>
          <w:rFonts w:eastAsia="Times New Roman"/>
          <w:noProof w:val="0"/>
          <w:szCs w:val="22"/>
        </w:rPr>
        <w:t xml:space="preserve">include (2) </w:t>
      </w:r>
      <w:r>
        <w:rPr>
          <w:rFonts w:eastAsia="Times New Roman"/>
          <w:noProof w:val="0"/>
          <w:szCs w:val="22"/>
        </w:rPr>
        <w:t xml:space="preserve">forged brass </w:t>
      </w:r>
      <w:r w:rsidRPr="00B13AB4">
        <w:rPr>
          <w:rFonts w:eastAsia="Times New Roman"/>
          <w:noProof w:val="0"/>
          <w:szCs w:val="22"/>
        </w:rPr>
        <w:t>tees</w:t>
      </w:r>
      <w:r>
        <w:rPr>
          <w:rFonts w:eastAsia="Times New Roman"/>
          <w:noProof w:val="0"/>
          <w:szCs w:val="22"/>
        </w:rPr>
        <w:t xml:space="preserve">, interchangeable union ends with FKM </w:t>
      </w:r>
      <w:proofErr w:type="spellStart"/>
      <w:r>
        <w:rPr>
          <w:rFonts w:eastAsia="Times New Roman"/>
          <w:noProof w:val="0"/>
          <w:szCs w:val="22"/>
        </w:rPr>
        <w:t>o-ring</w:t>
      </w:r>
      <w:proofErr w:type="spellEnd"/>
      <w:r>
        <w:rPr>
          <w:rFonts w:eastAsia="Times New Roman"/>
          <w:noProof w:val="0"/>
          <w:szCs w:val="22"/>
        </w:rPr>
        <w:t xml:space="preserve"> seal, ball </w:t>
      </w:r>
      <w:r w:rsidRPr="00B13AB4">
        <w:rPr>
          <w:rFonts w:eastAsia="Times New Roman"/>
          <w:noProof w:val="0"/>
          <w:szCs w:val="22"/>
        </w:rPr>
        <w:t>valve</w:t>
      </w:r>
      <w:r>
        <w:rPr>
          <w:rFonts w:eastAsia="Times New Roman"/>
          <w:noProof w:val="0"/>
          <w:szCs w:val="22"/>
        </w:rPr>
        <w:t xml:space="preserve">, blowout proof stem with dual FKM </w:t>
      </w:r>
      <w:proofErr w:type="spellStart"/>
      <w:r>
        <w:rPr>
          <w:rFonts w:eastAsia="Times New Roman"/>
          <w:noProof w:val="0"/>
          <w:szCs w:val="22"/>
        </w:rPr>
        <w:t>o-ring</w:t>
      </w:r>
      <w:proofErr w:type="spellEnd"/>
      <w:r>
        <w:rPr>
          <w:rFonts w:eastAsia="Times New Roman"/>
          <w:noProof w:val="0"/>
          <w:szCs w:val="22"/>
        </w:rPr>
        <w:t xml:space="preserve"> seals, hard chrome plated solid ball with Teflon™ seats, and rated at 600 PSI WOG, 325 degrees F. </w:t>
      </w:r>
      <w:r w:rsidRPr="003747A0">
        <w:rPr>
          <w:rFonts w:eastAsia="Times New Roman"/>
          <w:noProof w:val="0"/>
          <w:szCs w:val="22"/>
        </w:rPr>
        <w:t xml:space="preserve"> </w:t>
      </w:r>
      <w:r>
        <w:rPr>
          <w:rFonts w:eastAsia="Times New Roman"/>
          <w:noProof w:val="0"/>
          <w:szCs w:val="22"/>
        </w:rPr>
        <w:t>Bypass flush kits shall be available with NPT, SWT, PRESS or PUSH connections</w:t>
      </w:r>
      <w:r w:rsidRPr="00B13AB4">
        <w:rPr>
          <w:rFonts w:eastAsia="Times New Roman"/>
          <w:noProof w:val="0"/>
          <w:szCs w:val="22"/>
        </w:rPr>
        <w:t xml:space="preserve">; like Nexus </w:t>
      </w:r>
      <w:proofErr w:type="spellStart"/>
      <w:r w:rsidRPr="00B13AB4">
        <w:rPr>
          <w:rFonts w:eastAsia="Times New Roman"/>
          <w:noProof w:val="0"/>
          <w:szCs w:val="22"/>
        </w:rPr>
        <w:t>UltraBK</w:t>
      </w:r>
      <w:proofErr w:type="spellEnd"/>
      <w:r>
        <w:rPr>
          <w:rFonts w:eastAsia="Times New Roman"/>
          <w:noProof w:val="0"/>
          <w:szCs w:val="22"/>
        </w:rPr>
        <w:t>™</w:t>
      </w:r>
      <w:r w:rsidRPr="00B13AB4">
        <w:rPr>
          <w:rFonts w:eastAsia="Times New Roman"/>
          <w:noProof w:val="0"/>
          <w:szCs w:val="22"/>
        </w:rPr>
        <w:t xml:space="preserve"> Bypass &amp; flush k</w:t>
      </w:r>
      <w:r>
        <w:rPr>
          <w:rFonts w:eastAsia="Times New Roman"/>
          <w:noProof w:val="0"/>
          <w:szCs w:val="22"/>
        </w:rPr>
        <w:t xml:space="preserve">it (Models BKF, BKU, BKFC, BKUC.)  Optional solid </w:t>
      </w:r>
      <w:proofErr w:type="gramStart"/>
      <w:r>
        <w:rPr>
          <w:rFonts w:eastAsia="Times New Roman"/>
          <w:noProof w:val="0"/>
          <w:szCs w:val="22"/>
        </w:rPr>
        <w:t>stainless steel</w:t>
      </w:r>
      <w:proofErr w:type="gramEnd"/>
      <w:r>
        <w:rPr>
          <w:rFonts w:eastAsia="Times New Roman"/>
          <w:noProof w:val="0"/>
          <w:szCs w:val="22"/>
        </w:rPr>
        <w:t xml:space="preserve"> ball and stainless steel valve stem shall be available.</w:t>
      </w:r>
    </w:p>
    <w:p w14:paraId="74EE46DB" w14:textId="77777777" w:rsidR="001125C2" w:rsidRPr="00DD4BCA" w:rsidRDefault="001125C2" w:rsidP="001125C2">
      <w:pPr>
        <w:ind w:left="720"/>
        <w:rPr>
          <w:rFonts w:eastAsia="Times New Roman"/>
          <w:caps/>
          <w:noProof w:val="0"/>
          <w:sz w:val="16"/>
          <w:szCs w:val="16"/>
        </w:rPr>
      </w:pPr>
    </w:p>
    <w:p w14:paraId="74213A23" w14:textId="77777777" w:rsidR="001125C2" w:rsidRPr="00DD4BCA" w:rsidRDefault="001125C2" w:rsidP="001125C2">
      <w:pPr>
        <w:numPr>
          <w:ilvl w:val="0"/>
          <w:numId w:val="8"/>
        </w:numPr>
        <w:overflowPunct w:val="0"/>
        <w:autoSpaceDE w:val="0"/>
        <w:autoSpaceDN w:val="0"/>
        <w:adjustRightInd w:val="0"/>
        <w:textAlignment w:val="baseline"/>
        <w:rPr>
          <w:rFonts w:eastAsia="Times New Roman"/>
          <w:caps/>
          <w:noProof w:val="0"/>
          <w:szCs w:val="22"/>
        </w:rPr>
      </w:pPr>
      <w:r w:rsidRPr="00B13AB4">
        <w:rPr>
          <w:rFonts w:eastAsia="Times New Roman"/>
          <w:noProof w:val="0"/>
          <w:szCs w:val="22"/>
        </w:rPr>
        <w:t xml:space="preserve">Each </w:t>
      </w:r>
      <w:r>
        <w:rPr>
          <w:rFonts w:eastAsia="Times New Roman"/>
          <w:noProof w:val="0"/>
          <w:szCs w:val="22"/>
        </w:rPr>
        <w:t>b</w:t>
      </w:r>
      <w:r w:rsidRPr="00B13AB4">
        <w:rPr>
          <w:rFonts w:eastAsia="Times New Roman"/>
          <w:noProof w:val="0"/>
          <w:szCs w:val="22"/>
        </w:rPr>
        <w:t>ypass &amp; flush kit shall be “Bagged &amp; Tagged” for e</w:t>
      </w:r>
      <w:r>
        <w:rPr>
          <w:rFonts w:eastAsia="Times New Roman"/>
          <w:noProof w:val="0"/>
          <w:szCs w:val="22"/>
        </w:rPr>
        <w:t>asy identification and storage.</w:t>
      </w:r>
    </w:p>
    <w:p w14:paraId="39C05736" w14:textId="77777777" w:rsidR="001125C2" w:rsidRPr="00DD4BCA" w:rsidRDefault="001125C2" w:rsidP="001125C2">
      <w:pPr>
        <w:overflowPunct w:val="0"/>
        <w:autoSpaceDE w:val="0"/>
        <w:autoSpaceDN w:val="0"/>
        <w:adjustRightInd w:val="0"/>
        <w:ind w:left="720"/>
        <w:textAlignment w:val="baseline"/>
        <w:rPr>
          <w:rFonts w:eastAsia="Times New Roman"/>
          <w:caps/>
          <w:noProof w:val="0"/>
          <w:sz w:val="16"/>
          <w:szCs w:val="16"/>
        </w:rPr>
      </w:pPr>
    </w:p>
    <w:p w14:paraId="22DE8E42" w14:textId="77777777" w:rsidR="001125C2" w:rsidRDefault="001125C2" w:rsidP="001125C2">
      <w:pPr>
        <w:numPr>
          <w:ilvl w:val="0"/>
          <w:numId w:val="8"/>
        </w:numPr>
        <w:overflowPunct w:val="0"/>
        <w:autoSpaceDE w:val="0"/>
        <w:autoSpaceDN w:val="0"/>
        <w:adjustRightInd w:val="0"/>
        <w:textAlignment w:val="baseline"/>
        <w:rPr>
          <w:rFonts w:eastAsia="Times New Roman"/>
          <w:b/>
          <w:caps/>
          <w:noProof w:val="0"/>
          <w:szCs w:val="22"/>
        </w:rPr>
      </w:pPr>
      <w:r w:rsidRPr="00B13AB4">
        <w:rPr>
          <w:rFonts w:eastAsia="Times New Roman"/>
          <w:noProof w:val="0"/>
          <w:szCs w:val="22"/>
        </w:rPr>
        <w:t xml:space="preserve">Optional extended pressure and temperature test plugs, manual air vents and handles shall be available.  Extended handles shall not break the vapor barrier when operated. </w:t>
      </w:r>
    </w:p>
    <w:p w14:paraId="4F043312" w14:textId="77777777" w:rsidR="001125C2" w:rsidRPr="00DD4BCA" w:rsidRDefault="001125C2" w:rsidP="001125C2">
      <w:pPr>
        <w:overflowPunct w:val="0"/>
        <w:autoSpaceDE w:val="0"/>
        <w:autoSpaceDN w:val="0"/>
        <w:adjustRightInd w:val="0"/>
        <w:ind w:left="720"/>
        <w:textAlignment w:val="baseline"/>
        <w:rPr>
          <w:rFonts w:eastAsia="Times New Roman"/>
          <w:caps/>
          <w:noProof w:val="0"/>
          <w:sz w:val="16"/>
          <w:szCs w:val="16"/>
        </w:rPr>
      </w:pPr>
    </w:p>
    <w:p w14:paraId="6F28231C" w14:textId="77777777" w:rsidR="001125C2" w:rsidRPr="001D655E" w:rsidRDefault="001125C2" w:rsidP="001125C2">
      <w:pPr>
        <w:numPr>
          <w:ilvl w:val="0"/>
          <w:numId w:val="8"/>
        </w:numPr>
        <w:overflowPunct w:val="0"/>
        <w:autoSpaceDE w:val="0"/>
        <w:autoSpaceDN w:val="0"/>
        <w:adjustRightInd w:val="0"/>
        <w:textAlignment w:val="baseline"/>
        <w:rPr>
          <w:rFonts w:eastAsia="Times New Roman"/>
          <w:b/>
          <w:caps/>
          <w:noProof w:val="0"/>
          <w:szCs w:val="22"/>
        </w:rPr>
      </w:pPr>
      <w:r>
        <w:rPr>
          <w:rFonts w:eastAsia="Times New Roman"/>
          <w:noProof w:val="0"/>
          <w:szCs w:val="22"/>
        </w:rPr>
        <w:t>Bypass &amp; flush kit shall carry a 5-year product warranty.</w:t>
      </w:r>
    </w:p>
    <w:p w14:paraId="71D7E6C0" w14:textId="77777777" w:rsidR="001125C2" w:rsidRPr="00DD4BCA" w:rsidRDefault="001125C2" w:rsidP="001125C2">
      <w:pPr>
        <w:rPr>
          <w:rFonts w:eastAsia="Times New Roman"/>
          <w:sz w:val="16"/>
          <w:szCs w:val="16"/>
        </w:rPr>
      </w:pPr>
    </w:p>
    <w:p w14:paraId="02BC3E14" w14:textId="77777777" w:rsidR="001125C2" w:rsidRPr="001D655E" w:rsidRDefault="001125C2" w:rsidP="001125C2">
      <w:pPr>
        <w:pStyle w:val="ListParagraph"/>
        <w:numPr>
          <w:ilvl w:val="0"/>
          <w:numId w:val="8"/>
        </w:numPr>
        <w:overflowPunct w:val="0"/>
        <w:autoSpaceDE w:val="0"/>
        <w:autoSpaceDN w:val="0"/>
        <w:adjustRightInd w:val="0"/>
        <w:textAlignment w:val="baseline"/>
        <w:rPr>
          <w:rFonts w:eastAsia="Times New Roman"/>
          <w:noProof w:val="0"/>
          <w:szCs w:val="22"/>
        </w:rPr>
      </w:pPr>
      <w:r w:rsidRPr="001D655E">
        <w:rPr>
          <w:rFonts w:eastAsia="Times New Roman"/>
          <w:noProof w:val="0"/>
          <w:szCs w:val="22"/>
        </w:rPr>
        <w:t>Approved Manufacturers:</w:t>
      </w:r>
    </w:p>
    <w:p w14:paraId="0AA62F27" w14:textId="77777777" w:rsidR="001125C2" w:rsidRDefault="001125C2" w:rsidP="001125C2">
      <w:pPr>
        <w:pStyle w:val="ListParagraph"/>
        <w:numPr>
          <w:ilvl w:val="0"/>
          <w:numId w:val="9"/>
        </w:numPr>
        <w:overflowPunct w:val="0"/>
        <w:autoSpaceDE w:val="0"/>
        <w:autoSpaceDN w:val="0"/>
        <w:adjustRightInd w:val="0"/>
        <w:textAlignment w:val="baseline"/>
        <w:rPr>
          <w:rFonts w:eastAsia="Times New Roman"/>
          <w:noProof w:val="0"/>
          <w:szCs w:val="22"/>
        </w:rPr>
      </w:pPr>
      <w:r>
        <w:rPr>
          <w:rFonts w:eastAsia="Times New Roman"/>
          <w:noProof w:val="0"/>
          <w:szCs w:val="22"/>
        </w:rPr>
        <w:t>Nexus Valve, Inc.</w:t>
      </w:r>
    </w:p>
    <w:p w14:paraId="775D2ADE" w14:textId="2E234F2D" w:rsidR="00977643" w:rsidRPr="00087848" w:rsidRDefault="00977643" w:rsidP="00953203">
      <w:pPr>
        <w:overflowPunct w:val="0"/>
        <w:autoSpaceDE w:val="0"/>
        <w:autoSpaceDN w:val="0"/>
        <w:adjustRightInd w:val="0"/>
        <w:textAlignment w:val="baseline"/>
        <w:rPr>
          <w:rFonts w:eastAsia="Times New Roman"/>
          <w:noProof w:val="0"/>
          <w:szCs w:val="22"/>
        </w:rPr>
      </w:pPr>
      <w:r w:rsidRPr="00087848">
        <w:rPr>
          <w:rFonts w:ascii="Verdana" w:eastAsia="Times New Roman" w:hAnsi="Verdana"/>
          <w:noProof w:val="0"/>
          <w:sz w:val="20"/>
          <w:szCs w:val="20"/>
        </w:rPr>
        <w:br/>
      </w:r>
    </w:p>
    <w:p w14:paraId="4C4281E8" w14:textId="77777777" w:rsidR="00977643" w:rsidRPr="00D339F4" w:rsidRDefault="00977643">
      <w:pPr>
        <w:jc w:val="both"/>
        <w:rPr>
          <w:rFonts w:ascii="Source Sans Pro" w:hAnsi="Source Sans Pro"/>
          <w:sz w:val="21"/>
        </w:rPr>
      </w:pPr>
    </w:p>
    <w:sectPr w:rsidR="00977643" w:rsidRPr="00D339F4" w:rsidSect="00F44D69">
      <w:headerReference w:type="default" r:id="rId7"/>
      <w:footerReference w:type="default" r:id="rId8"/>
      <w:pgSz w:w="12240" w:h="15840"/>
      <w:pgMar w:top="2160" w:right="1080" w:bottom="1699" w:left="108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7DA0C" w14:textId="77777777" w:rsidR="0075662E" w:rsidRDefault="0075662E" w:rsidP="00EB2D4E">
      <w:r>
        <w:separator/>
      </w:r>
    </w:p>
  </w:endnote>
  <w:endnote w:type="continuationSeparator" w:id="0">
    <w:p w14:paraId="103E2315" w14:textId="77777777" w:rsidR="0075662E" w:rsidRDefault="0075662E" w:rsidP="00EB2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INOT-Medium">
    <w:altName w:val="Arial"/>
    <w:panose1 w:val="020B0604020202020204"/>
    <w:charset w:val="00"/>
    <w:family w:val="swiss"/>
    <w:notTrueType/>
    <w:pitch w:val="variable"/>
    <w:sig w:usb0="800000AF" w:usb1="4000207B" w:usb2="00000000" w:usb3="00000000" w:csb0="00000001" w:csb1="00000000"/>
  </w:font>
  <w:font w:name="DINOT-Bold">
    <w:altName w:val="Arial Black"/>
    <w:panose1 w:val="020B0604020202020204"/>
    <w:charset w:val="00"/>
    <w:family w:val="swiss"/>
    <w:notTrueType/>
    <w:pitch w:val="variable"/>
    <w:sig w:usb0="800000AF" w:usb1="4000207B" w:usb2="00000000" w:usb3="00000000" w:csb0="00000001" w:csb1="00000000"/>
  </w:font>
  <w:font w:name="Source Sans Pro">
    <w:altName w:val="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80751" w14:textId="77777777" w:rsidR="00EB2D4E" w:rsidRDefault="00EB2D4E">
    <w:pPr>
      <w:pStyle w:val="Footer"/>
    </w:pPr>
    <w:r>
      <w:drawing>
        <wp:inline distT="0" distB="0" distL="0" distR="0" wp14:anchorId="12E4028D" wp14:editId="5042A088">
          <wp:extent cx="6629400" cy="660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lberts endorsement - PNG RED.png"/>
                  <pic:cNvPicPr/>
                </pic:nvPicPr>
                <pic:blipFill>
                  <a:blip r:embed="rId1">
                    <a:extLst>
                      <a:ext uri="{28A0092B-C50C-407E-A947-70E740481C1C}">
                        <a14:useLocalDpi xmlns:a14="http://schemas.microsoft.com/office/drawing/2010/main" val="0"/>
                      </a:ext>
                    </a:extLst>
                  </a:blip>
                  <a:stretch>
                    <a:fillRect/>
                  </a:stretch>
                </pic:blipFill>
                <pic:spPr>
                  <a:xfrm>
                    <a:off x="0" y="0"/>
                    <a:ext cx="6629400" cy="660400"/>
                  </a:xfrm>
                  <a:prstGeom prst="rect">
                    <a:avLst/>
                  </a:prstGeom>
                </pic:spPr>
              </pic:pic>
            </a:graphicData>
          </a:graphic>
        </wp:inline>
      </w:drawing>
    </w: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8"/>
      <w:gridCol w:w="263"/>
      <w:gridCol w:w="309"/>
      <w:gridCol w:w="1178"/>
      <w:gridCol w:w="263"/>
      <w:gridCol w:w="5829"/>
    </w:tblGrid>
    <w:tr w:rsidR="004C11D1" w:rsidRPr="00EB2D4E" w14:paraId="50567D7E" w14:textId="77777777" w:rsidTr="00C100E7">
      <w:tc>
        <w:tcPr>
          <w:tcW w:w="2598" w:type="dxa"/>
          <w:tcMar>
            <w:left w:w="0" w:type="dxa"/>
            <w:right w:w="115" w:type="dxa"/>
          </w:tcMar>
        </w:tcPr>
        <w:p w14:paraId="6B7DAEB3" w14:textId="77777777" w:rsidR="00EB2D4E" w:rsidRPr="004C11D1" w:rsidRDefault="00EB2D4E">
          <w:pPr>
            <w:pStyle w:val="Footer"/>
            <w:rPr>
              <w:rFonts w:ascii="Source Sans Pro" w:hAnsi="Source Sans Pro"/>
              <w:b/>
              <w:sz w:val="16"/>
            </w:rPr>
          </w:pPr>
          <w:r w:rsidRPr="004C11D1">
            <w:rPr>
              <w:rFonts w:ascii="Source Sans Pro" w:hAnsi="Source Sans Pro"/>
              <w:b/>
              <w:sz w:val="16"/>
            </w:rPr>
            <w:t>Nexus Valve, Inc</w:t>
          </w:r>
          <w:r w:rsidR="00AE4AD0">
            <w:rPr>
              <w:rFonts w:ascii="Source Sans Pro" w:hAnsi="Source Sans Pro"/>
              <w:b/>
              <w:sz w:val="16"/>
            </w:rPr>
            <w:t>.</w:t>
          </w:r>
        </w:p>
      </w:tc>
      <w:tc>
        <w:tcPr>
          <w:tcW w:w="263" w:type="dxa"/>
          <w:tcMar>
            <w:left w:w="0" w:type="dxa"/>
            <w:right w:w="115" w:type="dxa"/>
          </w:tcMar>
        </w:tcPr>
        <w:p w14:paraId="4FA40808" w14:textId="77777777" w:rsidR="00EB2D4E" w:rsidRPr="004C11D1" w:rsidRDefault="00EB2D4E">
          <w:pPr>
            <w:pStyle w:val="Footer"/>
            <w:rPr>
              <w:rFonts w:ascii="Source Sans Pro" w:hAnsi="Source Sans Pro"/>
              <w:sz w:val="16"/>
            </w:rPr>
          </w:pPr>
        </w:p>
      </w:tc>
      <w:tc>
        <w:tcPr>
          <w:tcW w:w="309" w:type="dxa"/>
          <w:tcMar>
            <w:left w:w="0" w:type="dxa"/>
            <w:right w:w="115" w:type="dxa"/>
          </w:tcMar>
        </w:tcPr>
        <w:p w14:paraId="62D4F03F" w14:textId="77777777" w:rsidR="00EB2D4E" w:rsidRPr="004C11D1" w:rsidRDefault="00EB2D4E" w:rsidP="004C11D1">
          <w:pPr>
            <w:pStyle w:val="Footer"/>
            <w:jc w:val="right"/>
            <w:rPr>
              <w:rFonts w:ascii="Source Sans Pro" w:hAnsi="Source Sans Pro"/>
              <w:b/>
              <w:sz w:val="16"/>
            </w:rPr>
          </w:pPr>
          <w:r w:rsidRPr="004C11D1">
            <w:rPr>
              <w:rFonts w:ascii="Source Sans Pro" w:hAnsi="Source Sans Pro"/>
              <w:b/>
              <w:sz w:val="16"/>
            </w:rPr>
            <w:t>P</w:t>
          </w:r>
        </w:p>
      </w:tc>
      <w:tc>
        <w:tcPr>
          <w:tcW w:w="1178" w:type="dxa"/>
          <w:tcMar>
            <w:left w:w="0" w:type="dxa"/>
            <w:right w:w="115" w:type="dxa"/>
          </w:tcMar>
        </w:tcPr>
        <w:p w14:paraId="1E119CD2" w14:textId="77777777" w:rsidR="00EB2D4E" w:rsidRPr="004C11D1" w:rsidRDefault="00EB2D4E">
          <w:pPr>
            <w:pStyle w:val="Footer"/>
            <w:rPr>
              <w:rFonts w:ascii="Source Sans Pro" w:hAnsi="Source Sans Pro"/>
              <w:sz w:val="16"/>
            </w:rPr>
          </w:pPr>
          <w:r w:rsidRPr="004C11D1">
            <w:rPr>
              <w:rFonts w:ascii="Source Sans Pro" w:hAnsi="Source Sans Pro"/>
              <w:sz w:val="16"/>
            </w:rPr>
            <w:t>(317) 257-6050</w:t>
          </w:r>
        </w:p>
      </w:tc>
      <w:tc>
        <w:tcPr>
          <w:tcW w:w="263" w:type="dxa"/>
          <w:tcMar>
            <w:left w:w="0" w:type="dxa"/>
            <w:right w:w="115" w:type="dxa"/>
          </w:tcMar>
        </w:tcPr>
        <w:p w14:paraId="24B9E867" w14:textId="77777777" w:rsidR="00EB2D4E" w:rsidRPr="004C11D1" w:rsidRDefault="00EB2D4E">
          <w:pPr>
            <w:pStyle w:val="Footer"/>
            <w:rPr>
              <w:rFonts w:ascii="Source Sans Pro" w:hAnsi="Source Sans Pro"/>
              <w:sz w:val="16"/>
            </w:rPr>
          </w:pPr>
        </w:p>
      </w:tc>
      <w:tc>
        <w:tcPr>
          <w:tcW w:w="5829" w:type="dxa"/>
          <w:tcMar>
            <w:left w:w="0" w:type="dxa"/>
            <w:right w:w="115" w:type="dxa"/>
          </w:tcMar>
        </w:tcPr>
        <w:p w14:paraId="0B156F2B" w14:textId="77777777" w:rsidR="00EB2D4E" w:rsidRPr="004C11D1" w:rsidRDefault="00EB2D4E">
          <w:pPr>
            <w:pStyle w:val="Footer"/>
            <w:rPr>
              <w:rFonts w:ascii="Source Sans Pro" w:hAnsi="Source Sans Pro"/>
              <w:sz w:val="16"/>
            </w:rPr>
          </w:pPr>
          <w:r w:rsidRPr="004C11D1">
            <w:rPr>
              <w:rFonts w:ascii="Source Sans Pro" w:hAnsi="Source Sans Pro"/>
              <w:sz w:val="16"/>
            </w:rPr>
            <w:t>info@nexusvalve.com</w:t>
          </w:r>
        </w:p>
      </w:tc>
    </w:tr>
    <w:tr w:rsidR="004C11D1" w:rsidRPr="00EB2D4E" w14:paraId="4A0060EB" w14:textId="77777777" w:rsidTr="00C100E7">
      <w:tc>
        <w:tcPr>
          <w:tcW w:w="2598" w:type="dxa"/>
          <w:tcMar>
            <w:left w:w="0" w:type="dxa"/>
            <w:right w:w="115" w:type="dxa"/>
          </w:tcMar>
        </w:tcPr>
        <w:p w14:paraId="21191F72" w14:textId="77777777" w:rsidR="00EB2D4E" w:rsidRPr="004C11D1" w:rsidRDefault="00EB2D4E">
          <w:pPr>
            <w:pStyle w:val="Footer"/>
            <w:rPr>
              <w:rFonts w:ascii="Source Sans Pro" w:hAnsi="Source Sans Pro"/>
              <w:sz w:val="16"/>
            </w:rPr>
          </w:pPr>
          <w:r w:rsidRPr="004C11D1">
            <w:rPr>
              <w:rFonts w:ascii="Source Sans Pro" w:hAnsi="Source Sans Pro"/>
              <w:sz w:val="16"/>
            </w:rPr>
            <w:t>9982 E. 121</w:t>
          </w:r>
          <w:r w:rsidRPr="004C11D1">
            <w:rPr>
              <w:rFonts w:ascii="Source Sans Pro" w:hAnsi="Source Sans Pro"/>
              <w:sz w:val="16"/>
              <w:vertAlign w:val="superscript"/>
            </w:rPr>
            <w:t>st</w:t>
          </w:r>
          <w:r w:rsidRPr="004C11D1">
            <w:rPr>
              <w:rFonts w:ascii="Source Sans Pro" w:hAnsi="Source Sans Pro"/>
              <w:sz w:val="16"/>
            </w:rPr>
            <w:t xml:space="preserve"> Street  Fishers, IN 46037</w:t>
          </w:r>
        </w:p>
      </w:tc>
      <w:tc>
        <w:tcPr>
          <w:tcW w:w="263" w:type="dxa"/>
          <w:tcMar>
            <w:left w:w="0" w:type="dxa"/>
            <w:right w:w="115" w:type="dxa"/>
          </w:tcMar>
        </w:tcPr>
        <w:p w14:paraId="5BD815A1" w14:textId="77777777" w:rsidR="00EB2D4E" w:rsidRPr="004C11D1" w:rsidRDefault="00EB2D4E">
          <w:pPr>
            <w:pStyle w:val="Footer"/>
            <w:rPr>
              <w:rFonts w:ascii="Source Sans Pro" w:hAnsi="Source Sans Pro"/>
              <w:sz w:val="16"/>
            </w:rPr>
          </w:pPr>
        </w:p>
      </w:tc>
      <w:tc>
        <w:tcPr>
          <w:tcW w:w="309" w:type="dxa"/>
          <w:tcMar>
            <w:left w:w="0" w:type="dxa"/>
            <w:right w:w="115" w:type="dxa"/>
          </w:tcMar>
        </w:tcPr>
        <w:p w14:paraId="0BC2AAB1" w14:textId="77777777" w:rsidR="00EB2D4E" w:rsidRPr="004C11D1" w:rsidRDefault="00EB2D4E" w:rsidP="004C11D1">
          <w:pPr>
            <w:pStyle w:val="Footer"/>
            <w:jc w:val="right"/>
            <w:rPr>
              <w:rFonts w:ascii="Source Sans Pro" w:hAnsi="Source Sans Pro"/>
              <w:b/>
              <w:sz w:val="16"/>
            </w:rPr>
          </w:pPr>
          <w:r w:rsidRPr="004C11D1">
            <w:rPr>
              <w:rFonts w:ascii="Source Sans Pro" w:hAnsi="Source Sans Pro"/>
              <w:b/>
              <w:sz w:val="16"/>
            </w:rPr>
            <w:t>F</w:t>
          </w:r>
        </w:p>
      </w:tc>
      <w:tc>
        <w:tcPr>
          <w:tcW w:w="1178" w:type="dxa"/>
          <w:tcMar>
            <w:left w:w="0" w:type="dxa"/>
            <w:right w:w="115" w:type="dxa"/>
          </w:tcMar>
        </w:tcPr>
        <w:p w14:paraId="461AFCAD" w14:textId="77777777" w:rsidR="00EB2D4E" w:rsidRPr="004C11D1" w:rsidRDefault="00EB2D4E">
          <w:pPr>
            <w:pStyle w:val="Footer"/>
            <w:rPr>
              <w:rFonts w:ascii="Source Sans Pro" w:hAnsi="Source Sans Pro"/>
              <w:sz w:val="16"/>
            </w:rPr>
          </w:pPr>
          <w:r w:rsidRPr="004C11D1">
            <w:rPr>
              <w:rFonts w:ascii="Source Sans Pro" w:hAnsi="Source Sans Pro"/>
              <w:sz w:val="16"/>
            </w:rPr>
            <w:t>(317) 284-0339</w:t>
          </w:r>
        </w:p>
      </w:tc>
      <w:tc>
        <w:tcPr>
          <w:tcW w:w="263" w:type="dxa"/>
          <w:tcMar>
            <w:left w:w="0" w:type="dxa"/>
            <w:right w:w="115" w:type="dxa"/>
          </w:tcMar>
        </w:tcPr>
        <w:p w14:paraId="145C516A" w14:textId="77777777" w:rsidR="00EB2D4E" w:rsidRPr="004C11D1" w:rsidRDefault="00EB2D4E">
          <w:pPr>
            <w:pStyle w:val="Footer"/>
            <w:rPr>
              <w:rFonts w:ascii="Source Sans Pro" w:hAnsi="Source Sans Pro"/>
              <w:sz w:val="16"/>
            </w:rPr>
          </w:pPr>
        </w:p>
      </w:tc>
      <w:tc>
        <w:tcPr>
          <w:tcW w:w="5829" w:type="dxa"/>
          <w:tcMar>
            <w:left w:w="0" w:type="dxa"/>
            <w:right w:w="115" w:type="dxa"/>
          </w:tcMar>
        </w:tcPr>
        <w:p w14:paraId="34AC1DCF" w14:textId="77777777" w:rsidR="00EB2D4E" w:rsidRPr="004C11D1" w:rsidRDefault="00EB2D4E">
          <w:pPr>
            <w:pStyle w:val="Footer"/>
            <w:rPr>
              <w:rFonts w:ascii="Source Sans Pro" w:hAnsi="Source Sans Pro"/>
              <w:sz w:val="16"/>
            </w:rPr>
          </w:pPr>
          <w:r w:rsidRPr="004C11D1">
            <w:rPr>
              <w:rFonts w:ascii="Source Sans Pro" w:hAnsi="Source Sans Pro"/>
              <w:sz w:val="16"/>
            </w:rPr>
            <w:t>www.nexusvalve.com</w:t>
          </w:r>
        </w:p>
      </w:tc>
    </w:tr>
  </w:tbl>
  <w:p w14:paraId="0B930598" w14:textId="77777777" w:rsidR="00EB2D4E" w:rsidRDefault="00EB2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894DA" w14:textId="77777777" w:rsidR="0075662E" w:rsidRDefault="0075662E" w:rsidP="00EB2D4E">
      <w:r>
        <w:separator/>
      </w:r>
    </w:p>
  </w:footnote>
  <w:footnote w:type="continuationSeparator" w:id="0">
    <w:p w14:paraId="5650A8A4" w14:textId="77777777" w:rsidR="0075662E" w:rsidRDefault="0075662E" w:rsidP="00EB2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BD9EE" w14:textId="77777777" w:rsidR="00EB2D4E" w:rsidRDefault="00977643" w:rsidP="00977643">
    <w:pPr>
      <w:pStyle w:val="Header"/>
    </w:pPr>
    <w:r>
      <w:drawing>
        <wp:inline distT="0" distB="0" distL="0" distR="0" wp14:anchorId="351558CF" wp14:editId="0EFCCA27">
          <wp:extent cx="1403287" cy="597371"/>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81837" cy="630809"/>
                  </a:xfrm>
                  <a:prstGeom prst="rect">
                    <a:avLst/>
                  </a:prstGeom>
                </pic:spPr>
              </pic:pic>
            </a:graphicData>
          </a:graphic>
        </wp:inline>
      </w:drawing>
    </w:r>
    <w:r>
      <w:tab/>
    </w:r>
    <w:r>
      <w:tab/>
      <w:t xml:space="preserve">   SPECIFICATION</w:t>
    </w:r>
  </w:p>
  <w:p w14:paraId="3C24497E" w14:textId="58875CD7" w:rsidR="00977643" w:rsidRDefault="00977643" w:rsidP="00977643">
    <w:pPr>
      <w:pStyle w:val="Header"/>
      <w:jc w:val="center"/>
    </w:pPr>
    <w:r>
      <w:t xml:space="preserve">     </w:t>
    </w:r>
    <w:r>
      <w:tab/>
      <w:t xml:space="preserve">                        </w:t>
    </w:r>
    <w:r w:rsidR="001125C2">
      <w:t xml:space="preserve">                                                                    </w:t>
    </w:r>
    <w:r>
      <w:t xml:space="preserve"> </w:t>
    </w:r>
    <w:r w:rsidR="001125C2">
      <w:t>BYPASS &amp; FLUSH KIT</w:t>
    </w:r>
  </w:p>
  <w:p w14:paraId="57242BEE" w14:textId="77777777" w:rsidR="00977643" w:rsidRDefault="009776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0604E"/>
    <w:multiLevelType w:val="hybridMultilevel"/>
    <w:tmpl w:val="95BA95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F692A5B"/>
    <w:multiLevelType w:val="hybridMultilevel"/>
    <w:tmpl w:val="86BC6D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251D62"/>
    <w:multiLevelType w:val="hybridMultilevel"/>
    <w:tmpl w:val="E23A4D3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2C1E56"/>
    <w:multiLevelType w:val="hybridMultilevel"/>
    <w:tmpl w:val="BA1AF3C8"/>
    <w:lvl w:ilvl="0" w:tplc="0409000F">
      <w:start w:val="1"/>
      <w:numFmt w:val="decimal"/>
      <w:lvlText w:val="%1."/>
      <w:lvlJc w:val="left"/>
      <w:pPr>
        <w:ind w:left="720" w:hanging="360"/>
      </w:pPr>
      <w:rPr>
        <w:rFonts w:eastAsia="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143C48"/>
    <w:multiLevelType w:val="hybridMultilevel"/>
    <w:tmpl w:val="7D50C6E4"/>
    <w:lvl w:ilvl="0" w:tplc="0409000F">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F71DDC"/>
    <w:multiLevelType w:val="hybridMultilevel"/>
    <w:tmpl w:val="6C4294B2"/>
    <w:lvl w:ilvl="0" w:tplc="02BE6B4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3951542"/>
    <w:multiLevelType w:val="hybridMultilevel"/>
    <w:tmpl w:val="A97A3EEC"/>
    <w:lvl w:ilvl="0" w:tplc="5BD0B4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AEE7A68"/>
    <w:multiLevelType w:val="hybridMultilevel"/>
    <w:tmpl w:val="FB209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210550"/>
    <w:multiLevelType w:val="hybridMultilevel"/>
    <w:tmpl w:val="1ECE08AA"/>
    <w:lvl w:ilvl="0" w:tplc="D706B24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4"/>
  </w:num>
  <w:num w:numId="5">
    <w:abstractNumId w:val="1"/>
  </w:num>
  <w:num w:numId="6">
    <w:abstractNumId w:val="3"/>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643"/>
    <w:rsid w:val="0003020D"/>
    <w:rsid w:val="0006480B"/>
    <w:rsid w:val="00087848"/>
    <w:rsid w:val="001125C2"/>
    <w:rsid w:val="00167E2E"/>
    <w:rsid w:val="0024173E"/>
    <w:rsid w:val="002B5B8B"/>
    <w:rsid w:val="002D1862"/>
    <w:rsid w:val="002F051B"/>
    <w:rsid w:val="003265D1"/>
    <w:rsid w:val="00340304"/>
    <w:rsid w:val="00434CC0"/>
    <w:rsid w:val="004C11D1"/>
    <w:rsid w:val="004C3FFF"/>
    <w:rsid w:val="0075662E"/>
    <w:rsid w:val="00804046"/>
    <w:rsid w:val="008318F5"/>
    <w:rsid w:val="00836754"/>
    <w:rsid w:val="00925F3B"/>
    <w:rsid w:val="00953203"/>
    <w:rsid w:val="00977643"/>
    <w:rsid w:val="009C7F05"/>
    <w:rsid w:val="00AE4AD0"/>
    <w:rsid w:val="00B51C7A"/>
    <w:rsid w:val="00B65BD7"/>
    <w:rsid w:val="00B97260"/>
    <w:rsid w:val="00C100E7"/>
    <w:rsid w:val="00CA2CFD"/>
    <w:rsid w:val="00D339F4"/>
    <w:rsid w:val="00D47056"/>
    <w:rsid w:val="00EB2D4E"/>
    <w:rsid w:val="00EF7CFC"/>
    <w:rsid w:val="00F44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43064"/>
  <w14:defaultImageDpi w14:val="32767"/>
  <w15:chartTrackingRefBased/>
  <w15:docId w15:val="{344779FE-82E9-644F-B26A-D1D67B51F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77643"/>
    <w:rPr>
      <w:rFonts w:ascii="DINOT-Medium" w:eastAsiaTheme="minorEastAsia" w:hAnsi="DINOT-Medium" w:cs="Times New Roman"/>
      <w:noProof/>
      <w:sz w:val="22"/>
    </w:rPr>
  </w:style>
  <w:style w:type="paragraph" w:styleId="Heading1">
    <w:name w:val="heading 1"/>
    <w:basedOn w:val="Normal"/>
    <w:next w:val="Normal"/>
    <w:link w:val="Heading1Char"/>
    <w:uiPriority w:val="9"/>
    <w:qFormat/>
    <w:rsid w:val="00977643"/>
    <w:pPr>
      <w:keepNext/>
      <w:keepLines/>
      <w:spacing w:before="480"/>
      <w:outlineLvl w:val="0"/>
    </w:pPr>
    <w:rPr>
      <w:rFonts w:ascii="DINOT-Bold" w:eastAsiaTheme="majorEastAsia" w:hAnsi="DINOT-Bold"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gular">
    <w:name w:val="Regular"/>
    <w:basedOn w:val="Normal"/>
    <w:next w:val="BodyText"/>
    <w:autoRedefine/>
    <w:qFormat/>
    <w:rsid w:val="009C7F05"/>
    <w:rPr>
      <w:rFonts w:ascii="Source Sans Pro" w:hAnsi="Source Sans Pro"/>
      <w:sz w:val="20"/>
    </w:rPr>
  </w:style>
  <w:style w:type="paragraph" w:styleId="BodyText">
    <w:name w:val="Body Text"/>
    <w:basedOn w:val="Normal"/>
    <w:link w:val="BodyTextChar"/>
    <w:uiPriority w:val="99"/>
    <w:semiHidden/>
    <w:unhideWhenUsed/>
    <w:rsid w:val="009C7F05"/>
    <w:pPr>
      <w:spacing w:after="120"/>
    </w:pPr>
  </w:style>
  <w:style w:type="character" w:customStyle="1" w:styleId="BodyTextChar">
    <w:name w:val="Body Text Char"/>
    <w:basedOn w:val="DefaultParagraphFont"/>
    <w:link w:val="BodyText"/>
    <w:uiPriority w:val="99"/>
    <w:semiHidden/>
    <w:rsid w:val="009C7F05"/>
  </w:style>
  <w:style w:type="paragraph" w:customStyle="1" w:styleId="RegularText">
    <w:name w:val="Regular Text"/>
    <w:basedOn w:val="Normal"/>
    <w:next w:val="BodyText"/>
    <w:autoRedefine/>
    <w:qFormat/>
    <w:rsid w:val="009C7F05"/>
    <w:rPr>
      <w:rFonts w:ascii="Source Sans Pro" w:hAnsi="Source Sans Pro"/>
      <w:sz w:val="20"/>
    </w:rPr>
  </w:style>
  <w:style w:type="paragraph" w:styleId="Header">
    <w:name w:val="header"/>
    <w:basedOn w:val="Normal"/>
    <w:link w:val="HeaderChar"/>
    <w:uiPriority w:val="99"/>
    <w:unhideWhenUsed/>
    <w:rsid w:val="00EB2D4E"/>
    <w:pPr>
      <w:tabs>
        <w:tab w:val="center" w:pos="4680"/>
        <w:tab w:val="right" w:pos="9360"/>
      </w:tabs>
    </w:pPr>
  </w:style>
  <w:style w:type="character" w:customStyle="1" w:styleId="HeaderChar">
    <w:name w:val="Header Char"/>
    <w:basedOn w:val="DefaultParagraphFont"/>
    <w:link w:val="Header"/>
    <w:uiPriority w:val="99"/>
    <w:rsid w:val="00EB2D4E"/>
  </w:style>
  <w:style w:type="paragraph" w:styleId="Footer">
    <w:name w:val="footer"/>
    <w:basedOn w:val="Normal"/>
    <w:link w:val="FooterChar"/>
    <w:uiPriority w:val="99"/>
    <w:unhideWhenUsed/>
    <w:rsid w:val="00EB2D4E"/>
    <w:pPr>
      <w:tabs>
        <w:tab w:val="center" w:pos="4680"/>
        <w:tab w:val="right" w:pos="9360"/>
      </w:tabs>
    </w:pPr>
  </w:style>
  <w:style w:type="character" w:customStyle="1" w:styleId="FooterChar">
    <w:name w:val="Footer Char"/>
    <w:basedOn w:val="DefaultParagraphFont"/>
    <w:link w:val="Footer"/>
    <w:uiPriority w:val="99"/>
    <w:rsid w:val="00EB2D4E"/>
  </w:style>
  <w:style w:type="table" w:styleId="TableGrid">
    <w:name w:val="Table Grid"/>
    <w:basedOn w:val="TableNormal"/>
    <w:uiPriority w:val="39"/>
    <w:rsid w:val="00EB2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11D1"/>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C11D1"/>
    <w:rPr>
      <w:rFonts w:ascii="Times New Roman" w:hAnsi="Times New Roman" w:cs="Times New Roman"/>
      <w:sz w:val="18"/>
      <w:szCs w:val="18"/>
    </w:rPr>
  </w:style>
  <w:style w:type="table" w:customStyle="1" w:styleId="TableGrid1">
    <w:name w:val="Table Grid1"/>
    <w:basedOn w:val="TableNormal"/>
    <w:next w:val="TableGrid"/>
    <w:uiPriority w:val="39"/>
    <w:rsid w:val="00C100E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77643"/>
    <w:rPr>
      <w:rFonts w:ascii="DINOT-Bold" w:eastAsiaTheme="majorEastAsia" w:hAnsi="DINOT-Bold" w:cstheme="majorBidi"/>
      <w:b/>
      <w:bCs/>
      <w:noProof/>
      <w:sz w:val="22"/>
      <w:szCs w:val="28"/>
    </w:rPr>
  </w:style>
  <w:style w:type="paragraph" w:styleId="ListParagraph">
    <w:name w:val="List Paragraph"/>
    <w:basedOn w:val="Normal"/>
    <w:uiPriority w:val="34"/>
    <w:qFormat/>
    <w:rsid w:val="00977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My%20Passport/NEXUS%20ASSETS/Nexus%20Docs/OTHER/Nexus_LetterHead_0618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Nexus_LetterHead_061819.dotx</Template>
  <TotalTime>2</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Nexus Valve, Inc.</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Jasmine Stephens</cp:lastModifiedBy>
  <cp:revision>2</cp:revision>
  <cp:lastPrinted>2018-06-21T20:36:00Z</cp:lastPrinted>
  <dcterms:created xsi:type="dcterms:W3CDTF">2020-12-01T02:21:00Z</dcterms:created>
  <dcterms:modified xsi:type="dcterms:W3CDTF">2020-12-01T02:21:00Z</dcterms:modified>
</cp:coreProperties>
</file>