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C6E2" w14:textId="77777777" w:rsidR="00D339F4" w:rsidRDefault="00D339F4" w:rsidP="00977643">
      <w:pPr>
        <w:jc w:val="right"/>
        <w:rPr>
          <w:rFonts w:ascii="Source Sans Pro" w:hAnsi="Source Sans Pro"/>
          <w:sz w:val="21"/>
        </w:rPr>
      </w:pPr>
    </w:p>
    <w:p w14:paraId="54D3948E" w14:textId="0915A88F" w:rsidR="00977643" w:rsidRDefault="00977643" w:rsidP="00977643">
      <w:pPr>
        <w:rPr>
          <w:rFonts w:ascii="Source Sans Pro" w:hAnsi="Source Sans Pro"/>
          <w:sz w:val="21"/>
        </w:rPr>
      </w:pP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t xml:space="preserve">        </w:t>
      </w:r>
      <w:r w:rsidR="00B762D8">
        <w:rPr>
          <w:rFonts w:ascii="Source Sans Pro" w:hAnsi="Source Sans Pro"/>
          <w:sz w:val="21"/>
        </w:rPr>
        <w:t xml:space="preserve">     </w:t>
      </w:r>
      <w:r w:rsidR="00087848">
        <w:rPr>
          <w:rFonts w:ascii="Source Sans Pro" w:hAnsi="Source Sans Pro"/>
          <w:sz w:val="21"/>
        </w:rPr>
        <w:t xml:space="preserve"> </w:t>
      </w:r>
      <w:r>
        <w:rPr>
          <w:rFonts w:ascii="Source Sans Pro" w:hAnsi="Source Sans Pro"/>
          <w:sz w:val="21"/>
        </w:rPr>
        <w:t xml:space="preserve">Document: </w:t>
      </w:r>
      <w:r w:rsidR="00B762D8">
        <w:rPr>
          <w:rFonts w:ascii="Source Sans Pro" w:hAnsi="Source Sans Pro"/>
          <w:sz w:val="21"/>
        </w:rPr>
        <w:t>NL05271501-3</w:t>
      </w:r>
    </w:p>
    <w:p w14:paraId="53F6FE3A" w14:textId="77777777" w:rsidR="00977643" w:rsidRDefault="00977643">
      <w:pPr>
        <w:jc w:val="both"/>
        <w:rPr>
          <w:rFonts w:ascii="Source Sans Pro" w:hAnsi="Source Sans Pro"/>
          <w:sz w:val="21"/>
        </w:rPr>
      </w:pP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r>
      <w:r>
        <w:rPr>
          <w:rFonts w:ascii="Source Sans Pro" w:hAnsi="Source Sans Pro"/>
          <w:sz w:val="21"/>
        </w:rPr>
        <w:tab/>
        <w:t xml:space="preserve">              Effective Date: December 12, 2018</w:t>
      </w:r>
    </w:p>
    <w:p w14:paraId="79ACA669" w14:textId="77777777" w:rsidR="00087848" w:rsidRDefault="00087848" w:rsidP="00087848">
      <w:pPr>
        <w:overflowPunct w:val="0"/>
        <w:autoSpaceDE w:val="0"/>
        <w:autoSpaceDN w:val="0"/>
        <w:adjustRightInd w:val="0"/>
        <w:textAlignment w:val="baseline"/>
        <w:rPr>
          <w:rFonts w:ascii="Source Sans Pro" w:hAnsi="Source Sans Pro"/>
          <w:sz w:val="21"/>
        </w:rPr>
      </w:pPr>
    </w:p>
    <w:p w14:paraId="4A1A79D9" w14:textId="77777777" w:rsidR="00953203" w:rsidRPr="004A6A0D" w:rsidRDefault="00953203" w:rsidP="00953203">
      <w:pPr>
        <w:pStyle w:val="Heading1"/>
        <w:rPr>
          <w:rFonts w:ascii="DINOT-Medium" w:hAnsi="DINOT-Medium"/>
          <w:szCs w:val="22"/>
        </w:rPr>
      </w:pPr>
      <w:bookmarkStart w:id="0" w:name="_Hlk532373589"/>
      <w:r w:rsidRPr="004A6A0D">
        <w:rPr>
          <w:rFonts w:ascii="DINOT-Medium" w:hAnsi="DINOT-Medium"/>
          <w:szCs w:val="22"/>
        </w:rPr>
        <w:t>Instructions:</w:t>
      </w:r>
    </w:p>
    <w:bookmarkEnd w:id="0"/>
    <w:p w14:paraId="56785D4A" w14:textId="77777777" w:rsidR="00B762D8" w:rsidRDefault="00B762D8" w:rsidP="00B762D8">
      <w:pPr>
        <w:rPr>
          <w:szCs w:val="22"/>
        </w:rPr>
      </w:pPr>
      <w:r w:rsidRPr="004A6A0D">
        <w:rPr>
          <w:szCs w:val="22"/>
        </w:rPr>
        <w:t>Insert these specifications in section 23 21 13 – Hydronic Piping where applicable</w:t>
      </w:r>
      <w:r>
        <w:rPr>
          <w:szCs w:val="22"/>
        </w:rPr>
        <w:t xml:space="preserve">.  </w:t>
      </w:r>
    </w:p>
    <w:p w14:paraId="629FB8F9" w14:textId="77777777" w:rsidR="00B762D8" w:rsidRPr="00143CEA" w:rsidRDefault="00B762D8" w:rsidP="00B762D8">
      <w:pPr>
        <w:rPr>
          <w:sz w:val="18"/>
          <w:szCs w:val="18"/>
        </w:rPr>
      </w:pPr>
    </w:p>
    <w:p w14:paraId="2488012D" w14:textId="77777777" w:rsidR="00B762D8" w:rsidRDefault="00B762D8" w:rsidP="00B762D8">
      <w:pPr>
        <w:rPr>
          <w:b/>
          <w:szCs w:val="22"/>
        </w:rPr>
      </w:pPr>
      <w:r w:rsidRPr="004A6A0D">
        <w:rPr>
          <w:b/>
          <w:szCs w:val="22"/>
        </w:rPr>
        <w:t>General:</w:t>
      </w:r>
    </w:p>
    <w:p w14:paraId="10A1D139" w14:textId="77777777" w:rsidR="00B762D8" w:rsidRPr="004A6A0D" w:rsidRDefault="00B762D8" w:rsidP="00B762D8">
      <w:pPr>
        <w:rPr>
          <w:szCs w:val="22"/>
        </w:rPr>
      </w:pPr>
      <w:r>
        <w:rPr>
          <w:szCs w:val="22"/>
        </w:rPr>
        <w:t>Contractor shall provide push-fitting connections as an alternate method of joining copper pipe, copper tubing, copper alloy fittings, PEX tubing, PEX fittings, CPVC-CTS tubing, and CPVC-CTS fittings as specified in the construction documents.</w:t>
      </w:r>
    </w:p>
    <w:p w14:paraId="2AE44230" w14:textId="77777777" w:rsidR="00B762D8" w:rsidRPr="00143CEA" w:rsidRDefault="00B762D8" w:rsidP="00B762D8">
      <w:pPr>
        <w:rPr>
          <w:sz w:val="18"/>
          <w:szCs w:val="18"/>
        </w:rPr>
      </w:pPr>
    </w:p>
    <w:p w14:paraId="11CBF40C" w14:textId="77777777" w:rsidR="00B762D8" w:rsidRDefault="00B762D8" w:rsidP="00B762D8">
      <w:pPr>
        <w:rPr>
          <w:b/>
          <w:szCs w:val="22"/>
        </w:rPr>
      </w:pPr>
      <w:r>
        <w:rPr>
          <w:b/>
          <w:szCs w:val="22"/>
        </w:rPr>
        <w:t>Pressure-Seal Joints</w:t>
      </w:r>
      <w:r w:rsidRPr="004A6A0D">
        <w:rPr>
          <w:b/>
          <w:szCs w:val="22"/>
        </w:rPr>
        <w:t>:</w:t>
      </w:r>
    </w:p>
    <w:p w14:paraId="585E2435" w14:textId="77777777" w:rsidR="00B762D8" w:rsidRPr="00143CEA" w:rsidRDefault="00B762D8" w:rsidP="00B762D8">
      <w:pPr>
        <w:rPr>
          <w:b/>
          <w:sz w:val="16"/>
          <w:szCs w:val="16"/>
        </w:rPr>
      </w:pPr>
    </w:p>
    <w:p w14:paraId="2E9FF9C5" w14:textId="77777777" w:rsidR="00B762D8" w:rsidRDefault="00B762D8" w:rsidP="00B762D8">
      <w:pPr>
        <w:pStyle w:val="ListParagraph"/>
        <w:numPr>
          <w:ilvl w:val="0"/>
          <w:numId w:val="1"/>
        </w:numPr>
        <w:rPr>
          <w:szCs w:val="22"/>
        </w:rPr>
      </w:pPr>
      <w:r>
        <w:rPr>
          <w:szCs w:val="22"/>
        </w:rPr>
        <w:t xml:space="preserve">Push-fit connections </w:t>
      </w:r>
      <w:r w:rsidRPr="00D154EE">
        <w:rPr>
          <w:szCs w:val="22"/>
        </w:rPr>
        <w:t>shall b</w:t>
      </w:r>
      <w:r>
        <w:rPr>
          <w:szCs w:val="22"/>
        </w:rPr>
        <w:t xml:space="preserve">e installed on K, L, and M hard </w:t>
      </w:r>
      <w:r w:rsidRPr="00D154EE">
        <w:rPr>
          <w:szCs w:val="22"/>
        </w:rPr>
        <w:t>copper tubing</w:t>
      </w:r>
      <w:r>
        <w:rPr>
          <w:szCs w:val="22"/>
        </w:rPr>
        <w:t xml:space="preserve"> complying to ASTMB 88 standards, PEX tubing complying to ASTM F 876 or CSA B137.5,  and CPVS-CTS tubbing</w:t>
      </w:r>
      <w:r w:rsidRPr="00D154EE">
        <w:rPr>
          <w:szCs w:val="22"/>
        </w:rPr>
        <w:t xml:space="preserve"> </w:t>
      </w:r>
      <w:r>
        <w:rPr>
          <w:szCs w:val="22"/>
        </w:rPr>
        <w:t>complying to ASTM D 2846 or CSA B137.6.</w:t>
      </w:r>
    </w:p>
    <w:p w14:paraId="4A3DBF5A" w14:textId="77777777" w:rsidR="00B762D8" w:rsidRDefault="00B762D8" w:rsidP="00B762D8">
      <w:pPr>
        <w:pStyle w:val="ListParagraph"/>
        <w:rPr>
          <w:szCs w:val="22"/>
        </w:rPr>
      </w:pPr>
    </w:p>
    <w:p w14:paraId="3DE2AFCB" w14:textId="77777777" w:rsidR="00B762D8" w:rsidRDefault="00B762D8" w:rsidP="00B762D8">
      <w:pPr>
        <w:pStyle w:val="ListParagraph"/>
        <w:numPr>
          <w:ilvl w:val="0"/>
          <w:numId w:val="1"/>
        </w:numPr>
        <w:rPr>
          <w:szCs w:val="22"/>
        </w:rPr>
      </w:pPr>
      <w:r>
        <w:rPr>
          <w:szCs w:val="22"/>
        </w:rPr>
        <w:t xml:space="preserve">Fittings 1” and smaller </w:t>
      </w:r>
      <w:r w:rsidRPr="008D6A7D">
        <w:rPr>
          <w:szCs w:val="22"/>
        </w:rPr>
        <w:t>shall be constructed of forged brass</w:t>
      </w:r>
      <w:r>
        <w:rPr>
          <w:szCs w:val="22"/>
        </w:rPr>
        <w:t xml:space="preserve"> fitting</w:t>
      </w:r>
      <w:r w:rsidRPr="008D6A7D">
        <w:rPr>
          <w:szCs w:val="22"/>
        </w:rPr>
        <w:t>,</w:t>
      </w:r>
      <w:r>
        <w:rPr>
          <w:szCs w:val="22"/>
        </w:rPr>
        <w:t xml:space="preserve"> forged brass cartridge ring,</w:t>
      </w:r>
      <w:r w:rsidRPr="008D6A7D">
        <w:rPr>
          <w:szCs w:val="22"/>
        </w:rPr>
        <w:t xml:space="preserve"> stainless steel grab ring,</w:t>
      </w:r>
      <w:r>
        <w:rPr>
          <w:szCs w:val="22"/>
        </w:rPr>
        <w:t xml:space="preserve"> acetal resin demounting ring, nylon demounting ring,</w:t>
      </w:r>
      <w:r w:rsidRPr="008D6A7D">
        <w:rPr>
          <w:szCs w:val="22"/>
        </w:rPr>
        <w:t xml:space="preserve"> and</w:t>
      </w:r>
      <w:r>
        <w:rPr>
          <w:szCs w:val="22"/>
        </w:rPr>
        <w:t xml:space="preserve"> pre-lubricated</w:t>
      </w:r>
      <w:r w:rsidRPr="008D6A7D">
        <w:rPr>
          <w:szCs w:val="22"/>
        </w:rPr>
        <w:t xml:space="preserve"> EPDM seal.  The fitting shall be used in hydronic water and water/glycol systems from 32°F to 200°F  up to 250 PSI.  All fittings shall tested and comply ASSE 1061-2011; like the NexLok™ connection system.</w:t>
      </w:r>
    </w:p>
    <w:p w14:paraId="3C7EDF41" w14:textId="77777777" w:rsidR="00B762D8" w:rsidRPr="008D6A7D" w:rsidRDefault="00B762D8" w:rsidP="00B762D8">
      <w:pPr>
        <w:pStyle w:val="ListParagraph"/>
        <w:rPr>
          <w:szCs w:val="22"/>
        </w:rPr>
      </w:pPr>
    </w:p>
    <w:p w14:paraId="6A4798A7" w14:textId="77777777" w:rsidR="00B762D8" w:rsidRPr="008D6A7D" w:rsidRDefault="00B762D8" w:rsidP="00B762D8">
      <w:pPr>
        <w:pStyle w:val="ListParagraph"/>
        <w:numPr>
          <w:ilvl w:val="0"/>
          <w:numId w:val="1"/>
        </w:numPr>
        <w:rPr>
          <w:szCs w:val="22"/>
        </w:rPr>
      </w:pPr>
      <w:r>
        <w:rPr>
          <w:szCs w:val="22"/>
        </w:rPr>
        <w:t xml:space="preserve">Fittings 1-1/4” and larger </w:t>
      </w:r>
      <w:r w:rsidRPr="008D6A7D">
        <w:rPr>
          <w:szCs w:val="22"/>
        </w:rPr>
        <w:t>shall be constructed of forged brass</w:t>
      </w:r>
      <w:r>
        <w:rPr>
          <w:szCs w:val="22"/>
        </w:rPr>
        <w:t xml:space="preserve"> fitting,</w:t>
      </w:r>
      <w:r w:rsidRPr="008D6A7D">
        <w:rPr>
          <w:szCs w:val="22"/>
        </w:rPr>
        <w:t xml:space="preserve"> stainless steel grab ring,</w:t>
      </w:r>
      <w:r>
        <w:rPr>
          <w:szCs w:val="22"/>
        </w:rPr>
        <w:t xml:space="preserve"> acetal resin end cap, nylon alignment ring, </w:t>
      </w:r>
      <w:r w:rsidRPr="008D6A7D">
        <w:rPr>
          <w:szCs w:val="22"/>
        </w:rPr>
        <w:t>and</w:t>
      </w:r>
      <w:r>
        <w:rPr>
          <w:szCs w:val="22"/>
        </w:rPr>
        <w:t xml:space="preserve"> pre-lubricated</w:t>
      </w:r>
      <w:r w:rsidRPr="008D6A7D">
        <w:rPr>
          <w:szCs w:val="22"/>
        </w:rPr>
        <w:t xml:space="preserve"> EPDM seal.  The fitting shall be used in hydronic water and water/glycol syst</w:t>
      </w:r>
      <w:r>
        <w:rPr>
          <w:szCs w:val="22"/>
        </w:rPr>
        <w:t>ems from 32°F to 200°F  up to 20</w:t>
      </w:r>
      <w:r w:rsidRPr="008D6A7D">
        <w:rPr>
          <w:szCs w:val="22"/>
        </w:rPr>
        <w:t>0 PSI.  All fittings shall tested and comply ASSE 1061-2011; like the NexLok™</w:t>
      </w:r>
      <w:r>
        <w:rPr>
          <w:szCs w:val="22"/>
        </w:rPr>
        <w:t xml:space="preserve"> LD</w:t>
      </w:r>
      <w:r w:rsidRPr="008D6A7D">
        <w:rPr>
          <w:szCs w:val="22"/>
        </w:rPr>
        <w:t xml:space="preserve"> connection system.</w:t>
      </w:r>
    </w:p>
    <w:p w14:paraId="57B828EA" w14:textId="77777777" w:rsidR="00B762D8" w:rsidRPr="00D154EE" w:rsidRDefault="00B762D8" w:rsidP="00B762D8">
      <w:pPr>
        <w:pStyle w:val="ListParagraph"/>
        <w:rPr>
          <w:szCs w:val="22"/>
        </w:rPr>
      </w:pPr>
    </w:p>
    <w:p w14:paraId="4F068893" w14:textId="77777777" w:rsidR="00B762D8" w:rsidRPr="00395930" w:rsidRDefault="00B762D8" w:rsidP="00B762D8">
      <w:pPr>
        <w:numPr>
          <w:ilvl w:val="0"/>
          <w:numId w:val="1"/>
        </w:numPr>
        <w:overflowPunct w:val="0"/>
        <w:autoSpaceDE w:val="0"/>
        <w:autoSpaceDN w:val="0"/>
        <w:adjustRightInd w:val="0"/>
        <w:textAlignment w:val="baseline"/>
        <w:rPr>
          <w:rFonts w:eastAsia="Times New Roman"/>
          <w:caps/>
          <w:noProof w:val="0"/>
          <w:szCs w:val="22"/>
        </w:rPr>
      </w:pPr>
      <w:r>
        <w:rPr>
          <w:rFonts w:eastAsia="Times New Roman"/>
          <w:noProof w:val="0"/>
          <w:szCs w:val="22"/>
        </w:rPr>
        <w:t xml:space="preserve">Push-fit connections shall be made in accordance with the manufacturer’s installation instructions.  The tubing shall be fully inserted into the fitting and the tubing marked at the shoulder of the fitting. PEX applications require the use of a PEX insertion sleeve.  The fitting alignment shall be checked against the mark on the tubing to assure the tubing is fully inserted in the fitting. </w:t>
      </w:r>
    </w:p>
    <w:p w14:paraId="48B25B00" w14:textId="77777777" w:rsidR="00B762D8" w:rsidRDefault="00B762D8" w:rsidP="00B762D8">
      <w:pPr>
        <w:pStyle w:val="ListParagraph"/>
        <w:rPr>
          <w:rFonts w:eastAsia="Times New Roman"/>
          <w:noProof w:val="0"/>
          <w:szCs w:val="22"/>
        </w:rPr>
      </w:pPr>
    </w:p>
    <w:p w14:paraId="7D59E28B" w14:textId="77777777" w:rsidR="00B762D8" w:rsidRPr="001762AB" w:rsidRDefault="00B762D8" w:rsidP="00B762D8">
      <w:pPr>
        <w:numPr>
          <w:ilvl w:val="0"/>
          <w:numId w:val="1"/>
        </w:numPr>
        <w:overflowPunct w:val="0"/>
        <w:autoSpaceDE w:val="0"/>
        <w:autoSpaceDN w:val="0"/>
        <w:adjustRightInd w:val="0"/>
        <w:textAlignment w:val="baseline"/>
        <w:rPr>
          <w:rFonts w:eastAsia="Times New Roman"/>
          <w:caps/>
          <w:noProof w:val="0"/>
          <w:szCs w:val="22"/>
        </w:rPr>
      </w:pPr>
      <w:r>
        <w:rPr>
          <w:rFonts w:eastAsia="Times New Roman"/>
          <w:noProof w:val="0"/>
          <w:szCs w:val="22"/>
        </w:rPr>
        <w:t>Re-use of removable of push-fit fittings shall be permitted using the proper tools and rings as instructed and approved by the push-fit fittings manufacture.</w:t>
      </w:r>
    </w:p>
    <w:p w14:paraId="7C54DCA3" w14:textId="77777777" w:rsidR="00B762D8" w:rsidRDefault="00B762D8" w:rsidP="00B762D8">
      <w:pPr>
        <w:pStyle w:val="ListParagraph"/>
        <w:rPr>
          <w:rFonts w:eastAsia="Times New Roman"/>
          <w:caps/>
          <w:noProof w:val="0"/>
          <w:szCs w:val="22"/>
        </w:rPr>
      </w:pPr>
    </w:p>
    <w:p w14:paraId="5EA15A04" w14:textId="77777777" w:rsidR="00B762D8" w:rsidRPr="001762AB" w:rsidRDefault="00B762D8" w:rsidP="00B762D8">
      <w:pPr>
        <w:numPr>
          <w:ilvl w:val="0"/>
          <w:numId w:val="1"/>
        </w:numPr>
        <w:overflowPunct w:val="0"/>
        <w:autoSpaceDE w:val="0"/>
        <w:autoSpaceDN w:val="0"/>
        <w:adjustRightInd w:val="0"/>
        <w:textAlignment w:val="baseline"/>
        <w:rPr>
          <w:rFonts w:eastAsia="Times New Roman"/>
          <w:caps/>
          <w:noProof w:val="0"/>
          <w:szCs w:val="22"/>
        </w:rPr>
      </w:pPr>
      <w:r w:rsidRPr="001762AB">
        <w:rPr>
          <w:rFonts w:eastAsia="Times New Roman"/>
        </w:rPr>
        <w:t>In</w:t>
      </w:r>
      <w:r>
        <w:rPr>
          <w:rFonts w:eastAsia="Times New Roman"/>
        </w:rPr>
        <w:t>staller shall be a qualified installer, licensed within the jurisdiction, and familiar with the installation of push-fit joint systems.</w:t>
      </w:r>
    </w:p>
    <w:p w14:paraId="6F072E95" w14:textId="77777777" w:rsidR="00B762D8" w:rsidRDefault="00B762D8" w:rsidP="00B762D8">
      <w:pPr>
        <w:pStyle w:val="ListParagraph"/>
        <w:rPr>
          <w:rFonts w:eastAsia="Times New Roman"/>
          <w:caps/>
          <w:noProof w:val="0"/>
          <w:szCs w:val="22"/>
        </w:rPr>
      </w:pPr>
    </w:p>
    <w:p w14:paraId="0192EFE3" w14:textId="77777777" w:rsidR="00B762D8" w:rsidRPr="001762AB" w:rsidRDefault="00B762D8" w:rsidP="00B762D8">
      <w:pPr>
        <w:numPr>
          <w:ilvl w:val="0"/>
          <w:numId w:val="1"/>
        </w:numPr>
        <w:overflowPunct w:val="0"/>
        <w:autoSpaceDE w:val="0"/>
        <w:autoSpaceDN w:val="0"/>
        <w:adjustRightInd w:val="0"/>
        <w:textAlignment w:val="baseline"/>
        <w:rPr>
          <w:rFonts w:eastAsia="Times New Roman"/>
          <w:caps/>
          <w:noProof w:val="0"/>
          <w:szCs w:val="22"/>
        </w:rPr>
      </w:pPr>
      <w:r>
        <w:rPr>
          <w:rFonts w:eastAsia="Times New Roman"/>
        </w:rPr>
        <w:t>Follow all installation instructions of  the manufacturer’s push-fit fitting to ensure quality, leak tight seal.  To prevent distortion of the pipe, be sure to stringently maintain the minimum distance between fittings depending on tubing diameter as directed by the manufacturer.</w:t>
      </w:r>
    </w:p>
    <w:p w14:paraId="7D097E59" w14:textId="77777777" w:rsidR="00B762D8" w:rsidRDefault="00B762D8" w:rsidP="00B762D8">
      <w:pPr>
        <w:pStyle w:val="ListParagraph"/>
        <w:rPr>
          <w:rFonts w:eastAsia="Times New Roman"/>
        </w:rPr>
      </w:pPr>
    </w:p>
    <w:p w14:paraId="704126F3" w14:textId="77777777" w:rsidR="00B762D8" w:rsidRPr="00AA205E" w:rsidRDefault="00B762D8" w:rsidP="00B762D8">
      <w:pPr>
        <w:numPr>
          <w:ilvl w:val="0"/>
          <w:numId w:val="1"/>
        </w:numPr>
        <w:overflowPunct w:val="0"/>
        <w:autoSpaceDE w:val="0"/>
        <w:autoSpaceDN w:val="0"/>
        <w:adjustRightInd w:val="0"/>
        <w:textAlignment w:val="baseline"/>
        <w:rPr>
          <w:rFonts w:eastAsia="Times New Roman"/>
          <w:caps/>
          <w:noProof w:val="0"/>
          <w:szCs w:val="22"/>
        </w:rPr>
      </w:pPr>
      <w:r>
        <w:rPr>
          <w:rFonts w:eastAsia="Times New Roman"/>
        </w:rPr>
        <w:lastRenderedPageBreak/>
        <w:t>The installer shall insure that sealing elements are properly in place and free from damage.</w:t>
      </w:r>
    </w:p>
    <w:p w14:paraId="0E801F02" w14:textId="77777777" w:rsidR="00B762D8" w:rsidRPr="00143CEA" w:rsidRDefault="00B762D8" w:rsidP="00B762D8">
      <w:pPr>
        <w:overflowPunct w:val="0"/>
        <w:autoSpaceDE w:val="0"/>
        <w:autoSpaceDN w:val="0"/>
        <w:adjustRightInd w:val="0"/>
        <w:ind w:left="720"/>
        <w:textAlignment w:val="baseline"/>
        <w:rPr>
          <w:rFonts w:eastAsia="Times New Roman"/>
          <w:noProof w:val="0"/>
          <w:sz w:val="16"/>
          <w:szCs w:val="16"/>
        </w:rPr>
      </w:pPr>
    </w:p>
    <w:p w14:paraId="64324466" w14:textId="77777777" w:rsidR="00B762D8" w:rsidRPr="004A6A0D" w:rsidRDefault="00B762D8" w:rsidP="00B762D8">
      <w:pPr>
        <w:numPr>
          <w:ilvl w:val="0"/>
          <w:numId w:val="1"/>
        </w:numPr>
        <w:overflowPunct w:val="0"/>
        <w:autoSpaceDE w:val="0"/>
        <w:autoSpaceDN w:val="0"/>
        <w:adjustRightInd w:val="0"/>
        <w:textAlignment w:val="baseline"/>
        <w:rPr>
          <w:rFonts w:eastAsia="Times New Roman"/>
          <w:noProof w:val="0"/>
          <w:szCs w:val="22"/>
        </w:rPr>
      </w:pPr>
      <w:r w:rsidRPr="004A6A0D">
        <w:rPr>
          <w:rFonts w:eastAsia="Times New Roman"/>
          <w:noProof w:val="0"/>
          <w:szCs w:val="22"/>
        </w:rPr>
        <w:t>Approved Manufacturers:</w:t>
      </w:r>
    </w:p>
    <w:p w14:paraId="4C4281E8" w14:textId="43100BFD" w:rsidR="00977643" w:rsidRPr="00D339F4" w:rsidRDefault="00B762D8" w:rsidP="00B762D8">
      <w:pPr>
        <w:jc w:val="both"/>
        <w:rPr>
          <w:rFonts w:ascii="Source Sans Pro" w:hAnsi="Source Sans Pro"/>
          <w:sz w:val="21"/>
        </w:rPr>
      </w:pPr>
      <w:r>
        <w:rPr>
          <w:rFonts w:eastAsia="Times New Roman"/>
          <w:noProof w:val="0"/>
          <w:szCs w:val="22"/>
        </w:rPr>
        <w:t xml:space="preserve">            </w:t>
      </w:r>
      <w:r w:rsidRPr="004A6A0D">
        <w:rPr>
          <w:rFonts w:eastAsia="Times New Roman"/>
          <w:noProof w:val="0"/>
          <w:szCs w:val="22"/>
        </w:rPr>
        <w:t>Nexus Valve, Inc.</w:t>
      </w:r>
    </w:p>
    <w:sectPr w:rsidR="00977643" w:rsidRPr="00D339F4" w:rsidSect="00F44D69">
      <w:headerReference w:type="default" r:id="rId7"/>
      <w:footerReference w:type="default" r:id="rId8"/>
      <w:pgSz w:w="12240" w:h="15840"/>
      <w:pgMar w:top="2160" w:right="1080" w:bottom="1699"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8F91F" w14:textId="77777777" w:rsidR="00BF4932" w:rsidRDefault="00BF4932" w:rsidP="00EB2D4E">
      <w:r>
        <w:separator/>
      </w:r>
    </w:p>
  </w:endnote>
  <w:endnote w:type="continuationSeparator" w:id="0">
    <w:p w14:paraId="24FF4D80" w14:textId="77777777" w:rsidR="00BF4932" w:rsidRDefault="00BF4932" w:rsidP="00EB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INOT-Medium">
    <w:altName w:val="Arial"/>
    <w:panose1 w:val="020B0604020202020204"/>
    <w:charset w:val="00"/>
    <w:family w:val="swiss"/>
    <w:notTrueType/>
    <w:pitch w:val="variable"/>
    <w:sig w:usb0="800000AF" w:usb1="4000207B" w:usb2="00000000" w:usb3="00000000" w:csb0="00000001" w:csb1="00000000"/>
  </w:font>
  <w:font w:name="DINOT-Bold">
    <w:altName w:val="Arial Black"/>
    <w:panose1 w:val="020B0604020202020204"/>
    <w:charset w:val="00"/>
    <w:family w:val="swiss"/>
    <w:notTrueType/>
    <w:pitch w:val="variable"/>
    <w:sig w:usb0="800000AF" w:usb1="4000207B" w:usb2="00000000" w:usb3="00000000" w:csb0="00000001" w:csb1="00000000"/>
  </w:font>
  <w:font w:name="Source Sans Pro">
    <w:altName w:val="﷽﷽﷽﷽﷽﷽﷽﷽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80751" w14:textId="77777777" w:rsidR="00EB2D4E" w:rsidRDefault="00EB2D4E">
    <w:pPr>
      <w:pStyle w:val="Footer"/>
    </w:pPr>
    <w:r>
      <w:drawing>
        <wp:inline distT="0" distB="0" distL="0" distR="0" wp14:anchorId="12E4028D" wp14:editId="5042A088">
          <wp:extent cx="6629400" cy="66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lberts endorsement - PNG RED.png"/>
                  <pic:cNvPicPr/>
                </pic:nvPicPr>
                <pic:blipFill>
                  <a:blip r:embed="rId1">
                    <a:extLst>
                      <a:ext uri="{28A0092B-C50C-407E-A947-70E740481C1C}">
                        <a14:useLocalDpi xmlns:a14="http://schemas.microsoft.com/office/drawing/2010/main" val="0"/>
                      </a:ext>
                    </a:extLst>
                  </a:blip>
                  <a:stretch>
                    <a:fillRect/>
                  </a:stretch>
                </pic:blipFill>
                <pic:spPr>
                  <a:xfrm>
                    <a:off x="0" y="0"/>
                    <a:ext cx="6629400" cy="660400"/>
                  </a:xfrm>
                  <a:prstGeom prst="rect">
                    <a:avLst/>
                  </a:prstGeom>
                </pic:spPr>
              </pic:pic>
            </a:graphicData>
          </a:graphic>
        </wp:inline>
      </w:drawing>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263"/>
      <w:gridCol w:w="309"/>
      <w:gridCol w:w="1178"/>
      <w:gridCol w:w="263"/>
      <w:gridCol w:w="5829"/>
    </w:tblGrid>
    <w:tr w:rsidR="004C11D1" w:rsidRPr="00EB2D4E" w14:paraId="50567D7E" w14:textId="77777777" w:rsidTr="00C100E7">
      <w:tc>
        <w:tcPr>
          <w:tcW w:w="2598" w:type="dxa"/>
          <w:tcMar>
            <w:left w:w="0" w:type="dxa"/>
            <w:right w:w="115" w:type="dxa"/>
          </w:tcMar>
        </w:tcPr>
        <w:p w14:paraId="6B7DAEB3" w14:textId="77777777" w:rsidR="00EB2D4E" w:rsidRPr="004C11D1" w:rsidRDefault="00EB2D4E">
          <w:pPr>
            <w:pStyle w:val="Footer"/>
            <w:rPr>
              <w:rFonts w:ascii="Source Sans Pro" w:hAnsi="Source Sans Pro"/>
              <w:b/>
              <w:sz w:val="16"/>
            </w:rPr>
          </w:pPr>
          <w:r w:rsidRPr="004C11D1">
            <w:rPr>
              <w:rFonts w:ascii="Source Sans Pro" w:hAnsi="Source Sans Pro"/>
              <w:b/>
              <w:sz w:val="16"/>
            </w:rPr>
            <w:t>Nexus Valve, Inc</w:t>
          </w:r>
          <w:r w:rsidR="00AE4AD0">
            <w:rPr>
              <w:rFonts w:ascii="Source Sans Pro" w:hAnsi="Source Sans Pro"/>
              <w:b/>
              <w:sz w:val="16"/>
            </w:rPr>
            <w:t>.</w:t>
          </w:r>
        </w:p>
      </w:tc>
      <w:tc>
        <w:tcPr>
          <w:tcW w:w="263" w:type="dxa"/>
          <w:tcMar>
            <w:left w:w="0" w:type="dxa"/>
            <w:right w:w="115" w:type="dxa"/>
          </w:tcMar>
        </w:tcPr>
        <w:p w14:paraId="4FA40808" w14:textId="77777777" w:rsidR="00EB2D4E" w:rsidRPr="004C11D1" w:rsidRDefault="00EB2D4E">
          <w:pPr>
            <w:pStyle w:val="Footer"/>
            <w:rPr>
              <w:rFonts w:ascii="Source Sans Pro" w:hAnsi="Source Sans Pro"/>
              <w:sz w:val="16"/>
            </w:rPr>
          </w:pPr>
        </w:p>
      </w:tc>
      <w:tc>
        <w:tcPr>
          <w:tcW w:w="309" w:type="dxa"/>
          <w:tcMar>
            <w:left w:w="0" w:type="dxa"/>
            <w:right w:w="115" w:type="dxa"/>
          </w:tcMar>
        </w:tcPr>
        <w:p w14:paraId="62D4F03F" w14:textId="77777777" w:rsidR="00EB2D4E" w:rsidRPr="004C11D1" w:rsidRDefault="00EB2D4E" w:rsidP="004C11D1">
          <w:pPr>
            <w:pStyle w:val="Footer"/>
            <w:jc w:val="right"/>
            <w:rPr>
              <w:rFonts w:ascii="Source Sans Pro" w:hAnsi="Source Sans Pro"/>
              <w:b/>
              <w:sz w:val="16"/>
            </w:rPr>
          </w:pPr>
          <w:r w:rsidRPr="004C11D1">
            <w:rPr>
              <w:rFonts w:ascii="Source Sans Pro" w:hAnsi="Source Sans Pro"/>
              <w:b/>
              <w:sz w:val="16"/>
            </w:rPr>
            <w:t>P</w:t>
          </w:r>
        </w:p>
      </w:tc>
      <w:tc>
        <w:tcPr>
          <w:tcW w:w="1178" w:type="dxa"/>
          <w:tcMar>
            <w:left w:w="0" w:type="dxa"/>
            <w:right w:w="115" w:type="dxa"/>
          </w:tcMar>
        </w:tcPr>
        <w:p w14:paraId="1E119CD2" w14:textId="77777777" w:rsidR="00EB2D4E" w:rsidRPr="004C11D1" w:rsidRDefault="00EB2D4E">
          <w:pPr>
            <w:pStyle w:val="Footer"/>
            <w:rPr>
              <w:rFonts w:ascii="Source Sans Pro" w:hAnsi="Source Sans Pro"/>
              <w:sz w:val="16"/>
            </w:rPr>
          </w:pPr>
          <w:r w:rsidRPr="004C11D1">
            <w:rPr>
              <w:rFonts w:ascii="Source Sans Pro" w:hAnsi="Source Sans Pro"/>
              <w:sz w:val="16"/>
            </w:rPr>
            <w:t>(317) 257-6050</w:t>
          </w:r>
        </w:p>
      </w:tc>
      <w:tc>
        <w:tcPr>
          <w:tcW w:w="263" w:type="dxa"/>
          <w:tcMar>
            <w:left w:w="0" w:type="dxa"/>
            <w:right w:w="115" w:type="dxa"/>
          </w:tcMar>
        </w:tcPr>
        <w:p w14:paraId="24B9E867" w14:textId="77777777" w:rsidR="00EB2D4E" w:rsidRPr="004C11D1" w:rsidRDefault="00EB2D4E">
          <w:pPr>
            <w:pStyle w:val="Footer"/>
            <w:rPr>
              <w:rFonts w:ascii="Source Sans Pro" w:hAnsi="Source Sans Pro"/>
              <w:sz w:val="16"/>
            </w:rPr>
          </w:pPr>
        </w:p>
      </w:tc>
      <w:tc>
        <w:tcPr>
          <w:tcW w:w="5829" w:type="dxa"/>
          <w:tcMar>
            <w:left w:w="0" w:type="dxa"/>
            <w:right w:w="115" w:type="dxa"/>
          </w:tcMar>
        </w:tcPr>
        <w:p w14:paraId="0B156F2B" w14:textId="77777777" w:rsidR="00EB2D4E" w:rsidRPr="004C11D1" w:rsidRDefault="00EB2D4E">
          <w:pPr>
            <w:pStyle w:val="Footer"/>
            <w:rPr>
              <w:rFonts w:ascii="Source Sans Pro" w:hAnsi="Source Sans Pro"/>
              <w:sz w:val="16"/>
            </w:rPr>
          </w:pPr>
          <w:r w:rsidRPr="004C11D1">
            <w:rPr>
              <w:rFonts w:ascii="Source Sans Pro" w:hAnsi="Source Sans Pro"/>
              <w:sz w:val="16"/>
            </w:rPr>
            <w:t>info@nexusvalve.com</w:t>
          </w:r>
        </w:p>
      </w:tc>
    </w:tr>
    <w:tr w:rsidR="004C11D1" w:rsidRPr="00EB2D4E" w14:paraId="4A0060EB" w14:textId="77777777" w:rsidTr="00C100E7">
      <w:tc>
        <w:tcPr>
          <w:tcW w:w="2598" w:type="dxa"/>
          <w:tcMar>
            <w:left w:w="0" w:type="dxa"/>
            <w:right w:w="115" w:type="dxa"/>
          </w:tcMar>
        </w:tcPr>
        <w:p w14:paraId="21191F72" w14:textId="77777777" w:rsidR="00EB2D4E" w:rsidRPr="004C11D1" w:rsidRDefault="00EB2D4E">
          <w:pPr>
            <w:pStyle w:val="Footer"/>
            <w:rPr>
              <w:rFonts w:ascii="Source Sans Pro" w:hAnsi="Source Sans Pro"/>
              <w:sz w:val="16"/>
            </w:rPr>
          </w:pPr>
          <w:r w:rsidRPr="004C11D1">
            <w:rPr>
              <w:rFonts w:ascii="Source Sans Pro" w:hAnsi="Source Sans Pro"/>
              <w:sz w:val="16"/>
            </w:rPr>
            <w:t>9982 E. 121</w:t>
          </w:r>
          <w:r w:rsidRPr="004C11D1">
            <w:rPr>
              <w:rFonts w:ascii="Source Sans Pro" w:hAnsi="Source Sans Pro"/>
              <w:sz w:val="16"/>
              <w:vertAlign w:val="superscript"/>
            </w:rPr>
            <w:t>st</w:t>
          </w:r>
          <w:r w:rsidRPr="004C11D1">
            <w:rPr>
              <w:rFonts w:ascii="Source Sans Pro" w:hAnsi="Source Sans Pro"/>
              <w:sz w:val="16"/>
            </w:rPr>
            <w:t xml:space="preserve"> Street  Fishers, IN 46037</w:t>
          </w:r>
        </w:p>
      </w:tc>
      <w:tc>
        <w:tcPr>
          <w:tcW w:w="263" w:type="dxa"/>
          <w:tcMar>
            <w:left w:w="0" w:type="dxa"/>
            <w:right w:w="115" w:type="dxa"/>
          </w:tcMar>
        </w:tcPr>
        <w:p w14:paraId="5BD815A1" w14:textId="77777777" w:rsidR="00EB2D4E" w:rsidRPr="004C11D1" w:rsidRDefault="00EB2D4E">
          <w:pPr>
            <w:pStyle w:val="Footer"/>
            <w:rPr>
              <w:rFonts w:ascii="Source Sans Pro" w:hAnsi="Source Sans Pro"/>
              <w:sz w:val="16"/>
            </w:rPr>
          </w:pPr>
        </w:p>
      </w:tc>
      <w:tc>
        <w:tcPr>
          <w:tcW w:w="309" w:type="dxa"/>
          <w:tcMar>
            <w:left w:w="0" w:type="dxa"/>
            <w:right w:w="115" w:type="dxa"/>
          </w:tcMar>
        </w:tcPr>
        <w:p w14:paraId="0BC2AAB1" w14:textId="77777777" w:rsidR="00EB2D4E" w:rsidRPr="004C11D1" w:rsidRDefault="00EB2D4E" w:rsidP="004C11D1">
          <w:pPr>
            <w:pStyle w:val="Footer"/>
            <w:jc w:val="right"/>
            <w:rPr>
              <w:rFonts w:ascii="Source Sans Pro" w:hAnsi="Source Sans Pro"/>
              <w:b/>
              <w:sz w:val="16"/>
            </w:rPr>
          </w:pPr>
          <w:r w:rsidRPr="004C11D1">
            <w:rPr>
              <w:rFonts w:ascii="Source Sans Pro" w:hAnsi="Source Sans Pro"/>
              <w:b/>
              <w:sz w:val="16"/>
            </w:rPr>
            <w:t>F</w:t>
          </w:r>
        </w:p>
      </w:tc>
      <w:tc>
        <w:tcPr>
          <w:tcW w:w="1178" w:type="dxa"/>
          <w:tcMar>
            <w:left w:w="0" w:type="dxa"/>
            <w:right w:w="115" w:type="dxa"/>
          </w:tcMar>
        </w:tcPr>
        <w:p w14:paraId="461AFCAD" w14:textId="77777777" w:rsidR="00EB2D4E" w:rsidRPr="004C11D1" w:rsidRDefault="00EB2D4E">
          <w:pPr>
            <w:pStyle w:val="Footer"/>
            <w:rPr>
              <w:rFonts w:ascii="Source Sans Pro" w:hAnsi="Source Sans Pro"/>
              <w:sz w:val="16"/>
            </w:rPr>
          </w:pPr>
          <w:r w:rsidRPr="004C11D1">
            <w:rPr>
              <w:rFonts w:ascii="Source Sans Pro" w:hAnsi="Source Sans Pro"/>
              <w:sz w:val="16"/>
            </w:rPr>
            <w:t>(317) 284-0339</w:t>
          </w:r>
        </w:p>
      </w:tc>
      <w:tc>
        <w:tcPr>
          <w:tcW w:w="263" w:type="dxa"/>
          <w:tcMar>
            <w:left w:w="0" w:type="dxa"/>
            <w:right w:w="115" w:type="dxa"/>
          </w:tcMar>
        </w:tcPr>
        <w:p w14:paraId="145C516A" w14:textId="77777777" w:rsidR="00EB2D4E" w:rsidRPr="004C11D1" w:rsidRDefault="00EB2D4E">
          <w:pPr>
            <w:pStyle w:val="Footer"/>
            <w:rPr>
              <w:rFonts w:ascii="Source Sans Pro" w:hAnsi="Source Sans Pro"/>
              <w:sz w:val="16"/>
            </w:rPr>
          </w:pPr>
        </w:p>
      </w:tc>
      <w:tc>
        <w:tcPr>
          <w:tcW w:w="5829" w:type="dxa"/>
          <w:tcMar>
            <w:left w:w="0" w:type="dxa"/>
            <w:right w:w="115" w:type="dxa"/>
          </w:tcMar>
        </w:tcPr>
        <w:p w14:paraId="34AC1DCF" w14:textId="77777777" w:rsidR="00EB2D4E" w:rsidRPr="004C11D1" w:rsidRDefault="00EB2D4E">
          <w:pPr>
            <w:pStyle w:val="Footer"/>
            <w:rPr>
              <w:rFonts w:ascii="Source Sans Pro" w:hAnsi="Source Sans Pro"/>
              <w:sz w:val="16"/>
            </w:rPr>
          </w:pPr>
          <w:r w:rsidRPr="004C11D1">
            <w:rPr>
              <w:rFonts w:ascii="Source Sans Pro" w:hAnsi="Source Sans Pro"/>
              <w:sz w:val="16"/>
            </w:rPr>
            <w:t>www.nexusvalve.com</w:t>
          </w:r>
        </w:p>
      </w:tc>
    </w:tr>
  </w:tbl>
  <w:p w14:paraId="0B930598" w14:textId="77777777" w:rsidR="00EB2D4E" w:rsidRDefault="00EB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FDCFE" w14:textId="77777777" w:rsidR="00BF4932" w:rsidRDefault="00BF4932" w:rsidP="00EB2D4E">
      <w:r>
        <w:separator/>
      </w:r>
    </w:p>
  </w:footnote>
  <w:footnote w:type="continuationSeparator" w:id="0">
    <w:p w14:paraId="7786E528" w14:textId="77777777" w:rsidR="00BF4932" w:rsidRDefault="00BF4932" w:rsidP="00EB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D9EE" w14:textId="77777777" w:rsidR="00EB2D4E" w:rsidRDefault="00977643" w:rsidP="00977643">
    <w:pPr>
      <w:pStyle w:val="Header"/>
    </w:pPr>
    <w:r>
      <w:drawing>
        <wp:inline distT="0" distB="0" distL="0" distR="0" wp14:anchorId="351558CF" wp14:editId="0EFCCA27">
          <wp:extent cx="1403287" cy="597371"/>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1837" cy="630809"/>
                  </a:xfrm>
                  <a:prstGeom prst="rect">
                    <a:avLst/>
                  </a:prstGeom>
                </pic:spPr>
              </pic:pic>
            </a:graphicData>
          </a:graphic>
        </wp:inline>
      </w:drawing>
    </w:r>
    <w:r>
      <w:tab/>
    </w:r>
    <w:r>
      <w:tab/>
      <w:t xml:space="preserve">   SPECIFICATION</w:t>
    </w:r>
  </w:p>
  <w:p w14:paraId="3C24497E" w14:textId="1CDBA8AD" w:rsidR="00977643" w:rsidRDefault="00977643" w:rsidP="00977643">
    <w:pPr>
      <w:pStyle w:val="Header"/>
      <w:jc w:val="center"/>
    </w:pPr>
    <w:r>
      <w:t xml:space="preserve">     </w:t>
    </w:r>
    <w:r>
      <w:tab/>
      <w:t xml:space="preserve">                         </w:t>
    </w:r>
    <w:r w:rsidR="00B762D8">
      <w:t xml:space="preserve">                                                                                          NEXLOK</w:t>
    </w:r>
  </w:p>
  <w:p w14:paraId="57242BEE" w14:textId="77777777" w:rsidR="00977643" w:rsidRDefault="00977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604E"/>
    <w:multiLevelType w:val="hybridMultilevel"/>
    <w:tmpl w:val="95BA9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692A5B"/>
    <w:multiLevelType w:val="hybridMultilevel"/>
    <w:tmpl w:val="86BC6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51D62"/>
    <w:multiLevelType w:val="hybridMultilevel"/>
    <w:tmpl w:val="E23A4D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2C1E56"/>
    <w:multiLevelType w:val="hybridMultilevel"/>
    <w:tmpl w:val="BA1AF3C8"/>
    <w:lvl w:ilvl="0" w:tplc="0409000F">
      <w:start w:val="1"/>
      <w:numFmt w:val="decimal"/>
      <w:lvlText w:val="%1."/>
      <w:lvlJc w:val="left"/>
      <w:pPr>
        <w:ind w:left="720" w:hanging="360"/>
      </w:pPr>
      <w:rPr>
        <w:rFonts w:eastAsia="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143C48"/>
    <w:multiLevelType w:val="hybridMultilevel"/>
    <w:tmpl w:val="7D50C6E4"/>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71DDC"/>
    <w:multiLevelType w:val="hybridMultilevel"/>
    <w:tmpl w:val="6C4294B2"/>
    <w:lvl w:ilvl="0" w:tplc="02BE6B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EE7A68"/>
    <w:multiLevelType w:val="hybridMultilevel"/>
    <w:tmpl w:val="FB20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43"/>
    <w:rsid w:val="0003020D"/>
    <w:rsid w:val="00087848"/>
    <w:rsid w:val="00167E2E"/>
    <w:rsid w:val="0024173E"/>
    <w:rsid w:val="002B5B8B"/>
    <w:rsid w:val="002D1862"/>
    <w:rsid w:val="002F051B"/>
    <w:rsid w:val="003265D1"/>
    <w:rsid w:val="00340304"/>
    <w:rsid w:val="00434CC0"/>
    <w:rsid w:val="004C11D1"/>
    <w:rsid w:val="004C3FFF"/>
    <w:rsid w:val="00804046"/>
    <w:rsid w:val="008318F5"/>
    <w:rsid w:val="00836754"/>
    <w:rsid w:val="00925F3B"/>
    <w:rsid w:val="00953203"/>
    <w:rsid w:val="00977643"/>
    <w:rsid w:val="009C7F05"/>
    <w:rsid w:val="00AE4AD0"/>
    <w:rsid w:val="00B51C7A"/>
    <w:rsid w:val="00B65BD7"/>
    <w:rsid w:val="00B762D8"/>
    <w:rsid w:val="00B97260"/>
    <w:rsid w:val="00BF4932"/>
    <w:rsid w:val="00C100E7"/>
    <w:rsid w:val="00CA2CFD"/>
    <w:rsid w:val="00D339F4"/>
    <w:rsid w:val="00D47056"/>
    <w:rsid w:val="00EB2D4E"/>
    <w:rsid w:val="00EF7CFC"/>
    <w:rsid w:val="00F44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3064"/>
  <w14:defaultImageDpi w14:val="32767"/>
  <w15:chartTrackingRefBased/>
  <w15:docId w15:val="{344779FE-82E9-644F-B26A-D1D67B51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7643"/>
    <w:rPr>
      <w:rFonts w:ascii="DINOT-Medium" w:eastAsiaTheme="minorEastAsia" w:hAnsi="DINOT-Medium" w:cs="Times New Roman"/>
      <w:noProof/>
      <w:sz w:val="22"/>
    </w:rPr>
  </w:style>
  <w:style w:type="paragraph" w:styleId="Heading1">
    <w:name w:val="heading 1"/>
    <w:basedOn w:val="Normal"/>
    <w:next w:val="Normal"/>
    <w:link w:val="Heading1Char"/>
    <w:uiPriority w:val="9"/>
    <w:qFormat/>
    <w:rsid w:val="00977643"/>
    <w:pPr>
      <w:keepNext/>
      <w:keepLines/>
      <w:spacing w:before="480"/>
      <w:outlineLvl w:val="0"/>
    </w:pPr>
    <w:rPr>
      <w:rFonts w:ascii="DINOT-Bold" w:eastAsiaTheme="majorEastAsia" w:hAnsi="DINOT-Bold"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basedOn w:val="Normal"/>
    <w:next w:val="BodyText"/>
    <w:autoRedefine/>
    <w:qFormat/>
    <w:rsid w:val="009C7F05"/>
    <w:rPr>
      <w:rFonts w:ascii="Source Sans Pro" w:hAnsi="Source Sans Pro"/>
      <w:sz w:val="20"/>
    </w:rPr>
  </w:style>
  <w:style w:type="paragraph" w:styleId="BodyText">
    <w:name w:val="Body Text"/>
    <w:basedOn w:val="Normal"/>
    <w:link w:val="BodyTextChar"/>
    <w:uiPriority w:val="99"/>
    <w:semiHidden/>
    <w:unhideWhenUsed/>
    <w:rsid w:val="009C7F05"/>
    <w:pPr>
      <w:spacing w:after="120"/>
    </w:pPr>
  </w:style>
  <w:style w:type="character" w:customStyle="1" w:styleId="BodyTextChar">
    <w:name w:val="Body Text Char"/>
    <w:basedOn w:val="DefaultParagraphFont"/>
    <w:link w:val="BodyText"/>
    <w:uiPriority w:val="99"/>
    <w:semiHidden/>
    <w:rsid w:val="009C7F05"/>
  </w:style>
  <w:style w:type="paragraph" w:customStyle="1" w:styleId="RegularText">
    <w:name w:val="Regular Text"/>
    <w:basedOn w:val="Normal"/>
    <w:next w:val="BodyText"/>
    <w:autoRedefine/>
    <w:qFormat/>
    <w:rsid w:val="009C7F05"/>
    <w:rPr>
      <w:rFonts w:ascii="Source Sans Pro" w:hAnsi="Source Sans Pro"/>
      <w:sz w:val="20"/>
    </w:rPr>
  </w:style>
  <w:style w:type="paragraph" w:styleId="Header">
    <w:name w:val="header"/>
    <w:basedOn w:val="Normal"/>
    <w:link w:val="HeaderChar"/>
    <w:uiPriority w:val="99"/>
    <w:unhideWhenUsed/>
    <w:rsid w:val="00EB2D4E"/>
    <w:pPr>
      <w:tabs>
        <w:tab w:val="center" w:pos="4680"/>
        <w:tab w:val="right" w:pos="9360"/>
      </w:tabs>
    </w:pPr>
  </w:style>
  <w:style w:type="character" w:customStyle="1" w:styleId="HeaderChar">
    <w:name w:val="Header Char"/>
    <w:basedOn w:val="DefaultParagraphFont"/>
    <w:link w:val="Header"/>
    <w:uiPriority w:val="99"/>
    <w:rsid w:val="00EB2D4E"/>
  </w:style>
  <w:style w:type="paragraph" w:styleId="Footer">
    <w:name w:val="footer"/>
    <w:basedOn w:val="Normal"/>
    <w:link w:val="FooterChar"/>
    <w:uiPriority w:val="99"/>
    <w:unhideWhenUsed/>
    <w:rsid w:val="00EB2D4E"/>
    <w:pPr>
      <w:tabs>
        <w:tab w:val="center" w:pos="4680"/>
        <w:tab w:val="right" w:pos="9360"/>
      </w:tabs>
    </w:pPr>
  </w:style>
  <w:style w:type="character" w:customStyle="1" w:styleId="FooterChar">
    <w:name w:val="Footer Char"/>
    <w:basedOn w:val="DefaultParagraphFont"/>
    <w:link w:val="Footer"/>
    <w:uiPriority w:val="99"/>
    <w:rsid w:val="00EB2D4E"/>
  </w:style>
  <w:style w:type="table" w:styleId="TableGrid">
    <w:name w:val="Table Grid"/>
    <w:basedOn w:val="TableNormal"/>
    <w:uiPriority w:val="39"/>
    <w:rsid w:val="00EB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1D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C11D1"/>
    <w:rPr>
      <w:rFonts w:ascii="Times New Roman" w:hAnsi="Times New Roman" w:cs="Times New Roman"/>
      <w:sz w:val="18"/>
      <w:szCs w:val="18"/>
    </w:rPr>
  </w:style>
  <w:style w:type="table" w:customStyle="1" w:styleId="TableGrid1">
    <w:name w:val="Table Grid1"/>
    <w:basedOn w:val="TableNormal"/>
    <w:next w:val="TableGrid"/>
    <w:uiPriority w:val="39"/>
    <w:rsid w:val="00C100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77643"/>
    <w:rPr>
      <w:rFonts w:ascii="DINOT-Bold" w:eastAsiaTheme="majorEastAsia" w:hAnsi="DINOT-Bold" w:cstheme="majorBidi"/>
      <w:b/>
      <w:bCs/>
      <w:noProof/>
      <w:sz w:val="22"/>
      <w:szCs w:val="28"/>
    </w:rPr>
  </w:style>
  <w:style w:type="paragraph" w:styleId="ListParagraph">
    <w:name w:val="List Paragraph"/>
    <w:basedOn w:val="Normal"/>
    <w:uiPriority w:val="34"/>
    <w:qFormat/>
    <w:rsid w:val="0097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y%20Passport/NEXUS%20ASSETS/Nexus%20Docs/OTHER/Nexus_LetterHead_06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Nexus_LetterHead_061819.dotx</Template>
  <TotalTime>3</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Nexus Valve, Inc.</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Stephens</cp:lastModifiedBy>
  <cp:revision>2</cp:revision>
  <cp:lastPrinted>2018-06-21T20:36:00Z</cp:lastPrinted>
  <dcterms:created xsi:type="dcterms:W3CDTF">2020-12-04T17:37:00Z</dcterms:created>
  <dcterms:modified xsi:type="dcterms:W3CDTF">2020-12-04T17:37:00Z</dcterms:modified>
</cp:coreProperties>
</file>